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
          <w:color w:val="000000"/>
          <w:spacing w:val="20"/>
          <w:sz w:val="96"/>
          <w:szCs w:val="84"/>
        </w:rPr>
        <w:t xml:space="preserve">招 标 文 件</w:t>
      </w:r>
      <w:r/>
    </w:p>
    <w:p>
      <w:pPr>
        <w:pStyle w:val="734"/>
      </w:pPr>
      <w:r/>
      <w:r/>
    </w:p>
    <w:p>
      <w:pPr>
        <w:rPr>
          <w:rFonts w:ascii="宋体"/>
          <w:b/>
          <w:color w:val="000000"/>
        </w:rPr>
      </w:pPr>
      <w:r>
        <w:rPr>
          <w:rFonts w:ascii="宋体"/>
          <w:b/>
          <w:color w:val="000000"/>
        </w:rPr>
      </w:r>
      <w:r/>
    </w:p>
    <w:p>
      <w:pPr>
        <w:jc w:val="center"/>
        <w:rPr>
          <w:rFonts w:ascii="宋体"/>
          <w:b/>
          <w:color w:val="000000"/>
        </w:rPr>
      </w:pPr>
      <w:r>
        <w:rPr>
          <w:rFonts w:hint="eastAsia" w:ascii="宋体"/>
          <w:b/>
          <w:color w:val="000000"/>
        </w:rPr>
        <mc:AlternateContent>
          <mc:Choice Requires="wpg">
            <w:drawing>
              <wp:inline xmlns:wp="http://schemas.openxmlformats.org/drawingml/2006/wordprocessingDrawing" distT="0" distB="0" distL="0" distR="0">
                <wp:extent cx="1579245" cy="1579245"/>
                <wp:effectExtent l="0" t="0" r="5715" b="5715"/>
                <wp:docPr id="3" name="图片 4" descr="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久格公司标志"/>
                        <pic:cNvPicPr>
                          <a:picLocks noChangeAspect="1"/>
                        </pic:cNvPicPr>
                        <pic:nvPr/>
                      </pic:nvPicPr>
                      <pic:blipFill>
                        <a:blip r:embed="rId13"/>
                        <a:stretch/>
                      </pic:blipFill>
                      <pic:spPr bwMode="auto">
                        <a:xfrm>
                          <a:off x="0" y="0"/>
                          <a:ext cx="1579245" cy="15792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4.3pt;height:124.3pt;mso-wrap-distance-left:0.0pt;mso-wrap-distance-top:0.0pt;mso-wrap-distance-right:0.0pt;mso-wrap-distance-bottom:0.0pt;" stroked="false">
                <v:path textboxrect="0,0,0,0"/>
                <v:imagedata r:id="rId13" o:title=""/>
              </v:shape>
            </w:pict>
          </mc:Fallback>
        </mc:AlternateContent>
      </w:r>
      <w:r/>
    </w:p>
    <w:p>
      <w:pPr>
        <w:pStyle w:val="734"/>
      </w:pPr>
      <w:r/>
      <w:r/>
    </w:p>
    <w:p>
      <w:pPr>
        <w:pStyle w:val="735"/>
        <w:rPr>
          <w:highlight w:val="none"/>
        </w:rPr>
      </w:pPr>
      <w:r>
        <w:rPr>
          <w:highlight w:val="none"/>
        </w:rPr>
      </w:r>
      <w:r/>
    </w:p>
    <w:p>
      <w:pPr>
        <w:rPr>
          <w:rFonts w:ascii="宋体"/>
          <w:b/>
          <w:color w:val="000000"/>
          <w:highlight w:val="none"/>
        </w:rPr>
      </w:pPr>
      <w:r>
        <w:rPr>
          <w:rFonts w:ascii="宋体"/>
          <w:b/>
          <w:color w:val="000000"/>
          <w:highlight w:val="none"/>
        </w:rPr>
      </w:r>
      <w:r/>
    </w:p>
    <w:p>
      <w:pPr>
        <w:ind w:firstLine="1124"/>
        <w:spacing w:after="287"/>
        <w:rPr>
          <w:rFonts w:ascii="楷体" w:hAnsi="楷体" w:eastAsia="楷体"/>
          <w:b/>
          <w:bCs/>
          <w:sz w:val="28"/>
          <w:szCs w:val="21"/>
          <w:highlight w:val="none"/>
        </w:rPr>
      </w:pPr>
      <w:r>
        <w:rPr>
          <w:rFonts w:hint="eastAsia" w:ascii="楷体" w:hAnsi="楷体" w:eastAsia="楷体"/>
          <w:b/>
          <w:bCs/>
          <w:sz w:val="28"/>
          <w:szCs w:val="21"/>
          <w:highlight w:val="none"/>
        </w:rPr>
        <w:t xml:space="preserve">项目名称：</w:t>
      </w:r>
      <w:r>
        <w:rPr>
          <w:rFonts w:ascii="楷体" w:hAnsi="楷体" w:eastAsia="楷体"/>
          <w:b/>
          <w:bCs/>
          <w:sz w:val="28"/>
          <w:szCs w:val="21"/>
          <w:highlight w:val="none"/>
        </w:rPr>
        <w:t xml:space="preserve">2026-2027经济困难高龄、失能老年人居家养老上门服务</w:t>
      </w:r>
      <w:r/>
    </w:p>
    <w:p>
      <w:pPr>
        <w:pStyle w:val="734"/>
        <w:rPr>
          <w:highlight w:val="none"/>
        </w:rPr>
      </w:pPr>
      <w:r>
        <w:rPr>
          <w:highlight w:val="none"/>
        </w:rPr>
      </w:r>
      <w:r/>
    </w:p>
    <w:p>
      <w:pPr>
        <w:ind w:firstLine="1124"/>
        <w:spacing w:after="287"/>
        <w:rPr>
          <w:rFonts w:ascii="楷体" w:hAnsi="楷体" w:eastAsia="楷体"/>
          <w:b/>
          <w:bCs/>
          <w:color w:val="000000"/>
          <w:sz w:val="28"/>
          <w:szCs w:val="21"/>
          <w:highlight w:val="none"/>
        </w:rPr>
      </w:pPr>
      <w:r>
        <w:rPr>
          <w:rFonts w:hint="eastAsia" w:ascii="楷体" w:hAnsi="楷体" w:eastAsia="楷体"/>
          <w:b/>
          <w:bCs/>
          <w:color w:val="000000"/>
          <w:sz w:val="28"/>
          <w:szCs w:val="21"/>
          <w:highlight w:val="none"/>
        </w:rPr>
        <w:t xml:space="preserve">项目编号：</w:t>
      </w:r>
      <w:r>
        <w:rPr>
          <w:rFonts w:hint="eastAsia" w:ascii="楷体" w:hAnsi="楷体" w:eastAsia="楷体" w:cs="Times New Roman"/>
          <w:b/>
          <w:bCs/>
          <w:color w:val="000000"/>
          <w:sz w:val="28"/>
          <w:szCs w:val="21"/>
          <w:highlight w:val="none"/>
          <w:lang w:val="en-US" w:eastAsia="zh-CN" w:bidi="ar-SA"/>
        </w:rPr>
        <w:t xml:space="preserve">JSZC-321281-JGGC-G2026-0004</w:t>
      </w:r>
      <w:r>
        <w:rPr>
          <w:rFonts w:hint="eastAsia" w:ascii="楷体" w:hAnsi="楷体" w:eastAsia="楷体"/>
          <w:b/>
          <w:bCs/>
          <w:color w:val="000000"/>
          <w:sz w:val="28"/>
          <w:szCs w:val="21"/>
          <w:highlight w:val="none"/>
        </w:rPr>
        <w:t xml:space="preserve">号</w:t>
      </w:r>
      <w:r/>
    </w:p>
    <w:p>
      <w:pPr>
        <w:pStyle w:val="734"/>
        <w:rPr>
          <w:highlight w:val="none"/>
        </w:rPr>
      </w:pPr>
      <w:r>
        <w:rPr>
          <w:highlight w:val="none"/>
        </w:rPr>
      </w:r>
      <w:r/>
    </w:p>
    <w:p>
      <w:pPr>
        <w:ind w:firstLine="1124"/>
        <w:spacing w:after="287"/>
        <w:rPr>
          <w:rFonts w:ascii="楷体" w:hAnsi="楷体" w:eastAsia="楷体"/>
          <w:b/>
          <w:bCs/>
          <w:color w:val="000000"/>
          <w:sz w:val="36"/>
        </w:rPr>
      </w:pPr>
      <w:r>
        <w:rPr>
          <w:rFonts w:hint="eastAsia" w:ascii="楷体" w:hAnsi="楷体" w:eastAsia="楷体"/>
          <w:b/>
          <w:bCs/>
          <w:color w:val="000000"/>
          <w:sz w:val="28"/>
          <w:szCs w:val="21"/>
        </w:rPr>
        <w:t xml:space="preserve">采 购 人：兴化市民政局</w:t>
      </w:r>
      <w:r/>
    </w:p>
    <w:p>
      <w:pPr>
        <w:pStyle w:val="704"/>
        <w:ind w:firstLine="0"/>
        <w:tabs>
          <w:tab w:val="left" w:pos="7182" w:leader="none"/>
        </w:tabs>
        <w:rPr>
          <w:rFonts w:ascii="黑体" w:eastAsia="黑体"/>
          <w:color w:val="000000"/>
          <w:sz w:val="36"/>
        </w:rPr>
      </w:pPr>
      <w:r>
        <w:rPr>
          <w:rFonts w:ascii="黑体" w:eastAsia="黑体"/>
          <w:color w:val="000000"/>
          <w:sz w:val="36"/>
        </w:rPr>
      </w:r>
      <w:r/>
    </w:p>
    <w:p>
      <w:pPr>
        <w:pStyle w:val="704"/>
        <w:ind w:firstLine="0"/>
        <w:jc w:val="center"/>
        <w:tabs>
          <w:tab w:val="left" w:pos="7182" w:leader="none"/>
        </w:tabs>
        <w:rPr>
          <w:rFonts w:ascii="黑体" w:eastAsia="黑体"/>
          <w:color w:val="000000"/>
          <w:sz w:val="36"/>
        </w:rPr>
      </w:pPr>
      <w:r>
        <w:rPr>
          <w:rFonts w:hint="eastAsia" w:ascii="黑体" w:eastAsia="黑体"/>
          <w:color w:val="000000"/>
          <w:sz w:val="36"/>
        </w:rPr>
        <w:t xml:space="preserve">江苏久格工程项目管理有限公司</w:t>
      </w:r>
      <w:r/>
    </w:p>
    <w:p>
      <w:r/>
      <w:r/>
    </w:p>
    <w:p>
      <w:pPr>
        <w:pStyle w:val="704"/>
        <w:ind w:firstLine="0"/>
        <w:jc w:val="center"/>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val="en-US"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四</w:t>
      </w:r>
      <w:r>
        <w:rPr>
          <w:rFonts w:hint="eastAsia" w:ascii="黑体" w:eastAsia="黑体"/>
          <w:color w:val="000000"/>
          <w:sz w:val="36"/>
        </w:rPr>
        <w:t xml:space="preserve">月</w:t>
      </w:r>
      <w:r/>
    </w:p>
    <w:p>
      <w:pPr>
        <w:rPr>
          <w:rFonts w:ascii="黑体" w:eastAsia="黑体"/>
          <w:color w:val="000000"/>
          <w:sz w:val="36"/>
        </w:rPr>
      </w:pPr>
      <w:r>
        <w:rPr>
          <w:rFonts w:hint="eastAsia" w:ascii="黑体" w:eastAsia="黑体"/>
          <w:color w:val="000000"/>
          <w:sz w:val="36"/>
        </w:rPr>
        <w:br w:type="page" w:clear="all"/>
      </w:r>
      <w:r/>
    </w:p>
    <w:p>
      <w:pPr>
        <w:spacing w:line="500" w:lineRule="exac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rPr>
      </w:r>
      <w:r/>
    </w:p>
    <w:p>
      <w:pPr>
        <w:jc w:val="cente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第一章  投标邀请</w:t>
      </w:r>
      <w:r/>
    </w:p>
    <w:p>
      <w:pPr>
        <w:jc w:val="center"/>
        <w:spacing w:line="50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pStyle w:val="720"/>
        <w:ind w:firstLine="518"/>
        <w:spacing w:before="0" w:beforeAutospacing="0" w:after="0" w:afterAutospacing="0" w:line="560" w:lineRule="exact"/>
        <w:rPr>
          <w:rFonts w:ascii="仿宋" w:hAnsi="仿宋" w:eastAsia="仿宋" w:cs="仿宋"/>
          <w:sz w:val="28"/>
          <w:szCs w:val="28"/>
        </w:rPr>
      </w:pPr>
      <w:r>
        <w:rPr>
          <w:rFonts w:hint="eastAsia" w:ascii="仿宋" w:hAnsi="仿宋" w:eastAsia="仿宋" w:cs="仿宋"/>
          <w:sz w:val="28"/>
          <w:szCs w:val="28"/>
        </w:rPr>
        <w:t xml:space="preserve">项目概况</w:t>
      </w:r>
      <w:r/>
    </w:p>
    <w:p>
      <w:pPr>
        <w:pStyle w:val="720"/>
        <w:ind w:firstLine="518"/>
        <w:jc w:val="both"/>
        <w:spacing w:before="0" w:beforeAutospacing="0" w:after="0" w:afterAutospacing="0" w:line="560" w:lineRule="exact"/>
        <w:rPr>
          <w:rFonts w:ascii="仿宋" w:hAnsi="仿宋" w:eastAsia="仿宋" w:cs="仿宋"/>
          <w:sz w:val="28"/>
          <w:szCs w:val="28"/>
        </w:rPr>
      </w:pPr>
      <w:r>
        <w:rPr>
          <w:rFonts w:hint="eastAsia" w:ascii="仿宋" w:hAnsi="仿宋" w:eastAsia="仿宋" w:cs="仿宋"/>
          <w:bCs/>
          <w:color w:val="000000"/>
          <w:sz w:val="28"/>
          <w:szCs w:val="28"/>
          <w:u w:val="single"/>
        </w:rPr>
        <w:t xml:space="preserve">2026-2</w:t>
      </w:r>
      <w:r>
        <w:rPr>
          <w:rFonts w:hint="eastAsia" w:ascii="仿宋" w:hAnsi="仿宋" w:eastAsia="仿宋" w:cs="仿宋"/>
          <w:bCs/>
          <w:color w:val="000000"/>
          <w:sz w:val="28"/>
          <w:szCs w:val="28"/>
          <w:highlight w:val="none"/>
          <w:u w:val="single"/>
        </w:rPr>
        <w:t xml:space="preserve">027经济困难高龄、失能老年人居家养老上门服务</w:t>
      </w:r>
      <w:r>
        <w:rPr>
          <w:rFonts w:hint="eastAsia" w:ascii="仿宋" w:hAnsi="仿宋" w:eastAsia="仿宋" w:cs="仿宋"/>
          <w:bCs/>
          <w:color w:val="000000"/>
          <w:sz w:val="28"/>
          <w:szCs w:val="28"/>
          <w:highlight w:val="none"/>
        </w:rPr>
        <w:t xml:space="preserve">项目</w:t>
      </w:r>
      <w:r>
        <w:rPr>
          <w:rFonts w:hint="eastAsia" w:ascii="仿宋" w:hAnsi="仿宋" w:eastAsia="仿宋" w:cs="仿宋"/>
          <w:sz w:val="28"/>
          <w:szCs w:val="28"/>
          <w:highlight w:val="none"/>
        </w:rPr>
        <w:t xml:space="preserve">的潜在投标人应在</w:t>
      </w:r>
      <w:r>
        <w:rPr>
          <w:rFonts w:hint="eastAsia" w:ascii="仿宋" w:hAnsi="仿宋" w:eastAsia="仿宋" w:cs="仿宋"/>
          <w:color w:val="333333"/>
          <w:sz w:val="28"/>
          <w:szCs w:val="28"/>
          <w:highlight w:val="none"/>
          <w:u w:val="single"/>
          <w:shd w:val="clear" w:color="auto" w:fill="ffffff"/>
        </w:rPr>
        <w:t xml:space="preserve">江苏政府采购“苏采云”系统（</w:t>
      </w:r>
      <w:r>
        <w:rPr>
          <w:highlight w:val="none"/>
        </w:rPr>
        <w:fldChar w:fldCharType="begin"/>
      </w:r>
      <w:r>
        <w:rPr>
          <w:highlight w:val="none"/>
        </w:rPr>
        <w:instrText xml:space="preserve"> HYPERLINK "http://jszfcg.jsczt.cn/）获取采购文件，并于2024年" \o "http://jszfcg.jsczt.cn/）获取采购文件，并于2024年" </w:instrText>
      </w:r>
      <w:r>
        <w:rPr>
          <w:highlight w:val="none"/>
        </w:rPr>
        <w:fldChar w:fldCharType="separate"/>
      </w:r>
      <w:r>
        <w:rPr>
          <w:rFonts w:hint="eastAsia" w:ascii="仿宋" w:hAnsi="仿宋" w:eastAsia="仿宋" w:cs="仿宋"/>
          <w:color w:val="333333"/>
          <w:sz w:val="28"/>
          <w:szCs w:val="28"/>
          <w:highlight w:val="none"/>
          <w:u w:val="single"/>
          <w:shd w:val="clear" w:color="auto" w:fill="ffffff"/>
        </w:rPr>
        <w:t xml:space="preserve">http://jszfcg.jsczt.cn/）获取采购文件，并于202</w:t>
      </w:r>
      <w:r>
        <w:rPr>
          <w:rFonts w:hint="eastAsia" w:ascii="仿宋" w:hAnsi="仿宋" w:eastAsia="仿宋" w:cs="仿宋"/>
          <w:color w:val="333333"/>
          <w:sz w:val="28"/>
          <w:szCs w:val="28"/>
          <w:highlight w:val="none"/>
          <w:u w:val="single"/>
          <w:shd w:val="clear" w:color="auto" w:fill="ffffff"/>
          <w:lang w:val="en-US" w:eastAsia="zh-CN"/>
        </w:rPr>
        <w:t xml:space="preserve">6</w:t>
      </w:r>
      <w:r>
        <w:rPr>
          <w:rFonts w:hint="eastAsia" w:ascii="仿宋" w:hAnsi="仿宋" w:eastAsia="仿宋" w:cs="仿宋"/>
          <w:color w:val="333333"/>
          <w:sz w:val="28"/>
          <w:szCs w:val="28"/>
          <w:highlight w:val="none"/>
          <w:u w:val="single"/>
          <w:shd w:val="clear" w:color="auto" w:fill="ffffff"/>
        </w:rPr>
        <w:t xml:space="preserve">年</w:t>
      </w:r>
      <w:r>
        <w:rPr>
          <w:rFonts w:hint="eastAsia" w:ascii="仿宋" w:hAnsi="仿宋" w:eastAsia="仿宋" w:cs="仿宋"/>
          <w:color w:val="333333"/>
          <w:sz w:val="28"/>
          <w:szCs w:val="28"/>
          <w:highlight w:val="none"/>
          <w:u w:val="single"/>
          <w:shd w:val="clear" w:color="auto" w:fill="ffffff"/>
        </w:rPr>
        <w:fldChar w:fldCharType="end"/>
      </w:r>
      <w:r>
        <w:rPr>
          <w:rFonts w:hint="eastAsia" w:ascii="仿宋" w:hAnsi="仿宋" w:eastAsia="仿宋" w:cs="仿宋"/>
          <w:color w:val="333333"/>
          <w:sz w:val="28"/>
          <w:szCs w:val="28"/>
          <w:highlight w:val="none"/>
          <w:u w:val="single"/>
          <w:shd w:val="clear" w:color="auto" w:fill="ffffff"/>
          <w:lang w:val="en-US" w:eastAsia="zh-CN"/>
        </w:rPr>
        <w:t xml:space="preserve">05</w:t>
      </w:r>
      <w:r>
        <w:rPr>
          <w:rFonts w:hint="eastAsia" w:ascii="仿宋" w:hAnsi="仿宋" w:eastAsia="仿宋" w:cs="仿宋"/>
          <w:bCs/>
          <w:sz w:val="28"/>
          <w:szCs w:val="28"/>
          <w:highlight w:val="none"/>
          <w:u w:val="single"/>
        </w:rPr>
        <w:t xml:space="preserve">月</w:t>
      </w:r>
      <w:r>
        <w:rPr>
          <w:rFonts w:hint="eastAsia" w:ascii="仿宋" w:hAnsi="仿宋" w:eastAsia="仿宋" w:cs="仿宋"/>
          <w:bCs/>
          <w:sz w:val="28"/>
          <w:szCs w:val="28"/>
          <w:highlight w:val="none"/>
          <w:u w:val="single"/>
          <w:lang w:val="en-US" w:eastAsia="zh-CN"/>
        </w:rPr>
        <w:t xml:space="preserve">11</w:t>
      </w:r>
      <w:r>
        <w:rPr>
          <w:rFonts w:hint="eastAsia" w:ascii="仿宋" w:hAnsi="仿宋" w:eastAsia="仿宋" w:cs="仿宋"/>
          <w:bCs/>
          <w:sz w:val="28"/>
          <w:szCs w:val="28"/>
          <w:highlight w:val="none"/>
          <w:u w:val="single"/>
        </w:rPr>
        <w:t xml:space="preserve">日9点</w:t>
      </w:r>
      <w:r>
        <w:rPr>
          <w:rFonts w:hint="eastAsia" w:ascii="仿宋" w:hAnsi="仿宋" w:eastAsia="仿宋" w:cs="仿宋"/>
          <w:bCs/>
          <w:sz w:val="28"/>
          <w:szCs w:val="28"/>
          <w:highlight w:val="none"/>
          <w:u w:val="single"/>
          <w:lang w:val="en-US" w:eastAsia="zh-CN"/>
        </w:rPr>
        <w:t xml:space="preserve">0</w:t>
      </w:r>
      <w:r>
        <w:rPr>
          <w:rFonts w:hint="eastAsia" w:ascii="仿宋" w:hAnsi="仿宋" w:eastAsia="仿宋" w:cs="仿宋"/>
          <w:bCs/>
          <w:sz w:val="28"/>
          <w:szCs w:val="28"/>
          <w:highlight w:val="none"/>
          <w:u w:val="single"/>
        </w:rPr>
        <w:t xml:space="preserve">0分</w:t>
      </w:r>
      <w:r>
        <w:rPr>
          <w:rFonts w:hint="eastAsia" w:ascii="仿宋" w:hAnsi="仿宋" w:eastAsia="仿宋" w:cs="仿宋"/>
          <w:bCs/>
          <w:sz w:val="28"/>
          <w:szCs w:val="28"/>
          <w:highlight w:val="none"/>
        </w:rPr>
        <w:t xml:space="preserve">（北京时间）</w:t>
      </w:r>
      <w:r>
        <w:rPr>
          <w:rFonts w:hint="eastAsia" w:ascii="仿宋" w:hAnsi="仿宋" w:eastAsia="仿宋" w:cs="仿宋"/>
          <w:bCs/>
          <w:sz w:val="28"/>
          <w:szCs w:val="28"/>
        </w:rPr>
        <w:t xml:space="preserve">前提交响应文件</w:t>
      </w:r>
      <w:r/>
    </w:p>
    <w:p>
      <w:pPr>
        <w:pStyle w:val="720"/>
        <w:ind w:firstLine="560"/>
        <w:jc w:val="both"/>
        <w:spacing w:before="0" w:beforeAutospacing="0" w:after="0" w:afterAutospacing="0" w:line="560" w:lineRule="exact"/>
        <w:rPr>
          <w:rFonts w:ascii="仿宋" w:hAnsi="仿宋" w:eastAsia="仿宋" w:cs="仿宋"/>
          <w:bCs/>
          <w:sz w:val="28"/>
          <w:szCs w:val="28"/>
          <w:highlight w:val="none"/>
        </w:rPr>
      </w:pPr>
      <w:r>
        <w:rPr>
          <w:rFonts w:hint="eastAsia" w:ascii="仿宋" w:hAnsi="仿宋" w:eastAsia="仿宋" w:cs="仿宋"/>
          <w:bCs/>
          <w:sz w:val="28"/>
          <w:szCs w:val="28"/>
        </w:rPr>
        <w:t xml:space="preserve">一、项</w:t>
      </w:r>
      <w:r>
        <w:rPr>
          <w:rFonts w:hint="eastAsia" w:ascii="仿宋" w:hAnsi="仿宋" w:eastAsia="仿宋" w:cs="仿宋"/>
          <w:bCs/>
          <w:sz w:val="28"/>
          <w:szCs w:val="28"/>
          <w:highlight w:val="none"/>
        </w:rPr>
        <w:t xml:space="preserve">目基本情况</w:t>
      </w:r>
      <w:r/>
    </w:p>
    <w:p>
      <w:pPr>
        <w:pStyle w:val="720"/>
        <w:ind w:firstLine="518"/>
        <w:jc w:val="both"/>
        <w:spacing w:before="0" w:beforeAutospacing="0" w:after="0" w:afterAutospacing="0" w:line="560" w:lineRule="exact"/>
        <w:rPr>
          <w:rFonts w:ascii="仿宋" w:hAnsi="仿宋" w:eastAsia="仿宋" w:cs="仿宋"/>
          <w:color w:val="ff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val="en-US" w:eastAsia="zh-CN" w:bidi="ar-SA"/>
        </w:rPr>
        <w:t xml:space="preserve">JSZC-321281-JGGC-G2026-0004</w:t>
      </w:r>
      <w:r>
        <w:rPr>
          <w:rFonts w:hint="eastAsia" w:ascii="仿宋" w:hAnsi="仿宋" w:eastAsia="仿宋" w:cs="仿宋"/>
          <w:bCs/>
          <w:sz w:val="28"/>
          <w:szCs w:val="28"/>
          <w:highlight w:val="none"/>
        </w:rPr>
        <w:t xml:space="preserve">号</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项目名称：2026-2027经济困难高龄、失能老年人居家养老上门服务</w:t>
      </w:r>
      <w:r/>
    </w:p>
    <w:p>
      <w:pPr>
        <w:pStyle w:val="720"/>
        <w:ind w:firstLine="560"/>
        <w:jc w:val="both"/>
        <w:spacing w:before="0" w:beforeAutospacing="0" w:after="0" w:afterAutospacing="0" w:line="560" w:lineRule="exact"/>
        <w:rPr>
          <w:rFonts w:ascii="仿宋" w:hAnsi="仿宋" w:eastAsia="仿宋" w:cs="仿宋"/>
          <w:color w:val="000000"/>
          <w:sz w:val="28"/>
          <w:szCs w:val="28"/>
          <w:highlight w:val="yellow"/>
        </w:rPr>
      </w:pPr>
      <w:r>
        <w:rPr>
          <w:rFonts w:hint="eastAsia" w:ascii="仿宋" w:hAnsi="仿宋" w:eastAsia="仿宋" w:cs="仿宋"/>
          <w:color w:val="000000"/>
          <w:sz w:val="28"/>
          <w:szCs w:val="28"/>
          <w:highlight w:val="yellow"/>
        </w:rPr>
        <w:t xml:space="preserve">预算金额：人民币</w:t>
      </w:r>
      <w:r>
        <w:rPr>
          <w:rFonts w:hint="eastAsia" w:ascii="仿宋" w:hAnsi="仿宋" w:eastAsia="仿宋" w:cs="仿宋"/>
          <w:color w:val="000000"/>
          <w:sz w:val="28"/>
          <w:szCs w:val="28"/>
          <w:highlight w:val="yellow"/>
          <w:lang w:val="en-US" w:eastAsia="zh-CN"/>
        </w:rPr>
        <w:t xml:space="preserve">叁仟陆佰</w:t>
      </w:r>
      <w:r>
        <w:rPr>
          <w:rFonts w:hint="eastAsia" w:ascii="仿宋" w:hAnsi="仿宋" w:eastAsia="仿宋" w:cs="仿宋"/>
          <w:color w:val="000000"/>
          <w:sz w:val="28"/>
          <w:szCs w:val="28"/>
          <w:highlight w:val="yellow"/>
        </w:rPr>
        <w:t xml:space="preserve">万元（￥：</w:t>
      </w:r>
      <w:r>
        <w:rPr>
          <w:rFonts w:hint="eastAsia" w:ascii="仿宋" w:hAnsi="仿宋" w:eastAsia="仿宋" w:cs="仿宋"/>
          <w:color w:val="000000"/>
          <w:sz w:val="28"/>
          <w:szCs w:val="28"/>
          <w:highlight w:val="yellow"/>
          <w:lang w:val="en-US" w:eastAsia="zh-CN"/>
        </w:rPr>
        <w:t xml:space="preserve">36</w:t>
      </w:r>
      <w:r>
        <w:rPr>
          <w:rFonts w:hint="eastAsia" w:ascii="仿宋" w:hAnsi="仿宋" w:eastAsia="仿宋" w:cs="仿宋"/>
          <w:color w:val="000000"/>
          <w:sz w:val="28"/>
          <w:szCs w:val="28"/>
          <w:highlight w:val="yellow"/>
        </w:rPr>
        <w:t xml:space="preserve">000000.00元</w:t>
      </w:r>
      <w:r>
        <w:rPr>
          <w:rFonts w:hint="eastAsia" w:ascii="仿宋" w:hAnsi="仿宋" w:eastAsia="仿宋" w:cs="仿宋"/>
          <w:color w:val="000000"/>
          <w:sz w:val="28"/>
          <w:szCs w:val="28"/>
          <w:highlight w:val="yellow"/>
          <w:lang w:eastAsia="zh-CN"/>
        </w:rPr>
        <w:t xml:space="preserve">，预算金额即是最高限价，本项目11个包，各包划分以采购需求中标段划分为准</w:t>
      </w:r>
      <w:r>
        <w:rPr>
          <w:rFonts w:hint="eastAsia" w:ascii="仿宋" w:hAnsi="仿宋" w:eastAsia="仿宋" w:cs="仿宋"/>
          <w:color w:val="000000"/>
          <w:sz w:val="28"/>
          <w:szCs w:val="28"/>
          <w:highlight w:val="yellow"/>
        </w:rPr>
        <w:t xml:space="preserve">）</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采购需求：政府购买居家养老上门服务，具体要求详见招标文件。</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合同履行期限：详见招标文件。</w:t>
      </w:r>
      <w:r/>
    </w:p>
    <w:p>
      <w:pPr>
        <w:pStyle w:val="720"/>
        <w:ind w:firstLine="560"/>
        <w:jc w:val="both"/>
        <w:spacing w:before="0" w:beforeAutospacing="0" w:after="0" w:afterAutospacing="0" w:line="560" w:lineRule="exact"/>
        <w:rPr>
          <w:rFonts w:ascii="仿宋" w:hAnsi="仿宋" w:eastAsia="仿宋" w:cs="仿宋"/>
          <w:b/>
          <w:bCs/>
          <w:color w:val="0000ff"/>
          <w:sz w:val="28"/>
          <w:szCs w:val="28"/>
        </w:rPr>
      </w:pPr>
      <w:r>
        <w:rPr>
          <w:rFonts w:hint="eastAsia" w:ascii="仿宋" w:hAnsi="仿宋" w:eastAsia="仿宋" w:cs="仿宋"/>
          <w:b/>
          <w:bCs/>
          <w:color w:val="0000ff"/>
          <w:sz w:val="28"/>
          <w:szCs w:val="28"/>
        </w:rPr>
        <w:t xml:space="preserve">本项目接受联合体投标。</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二、申请人的资格要求</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1.满足《中华人民共和国政府采购法》第二十二条规定：</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（1）具有独立承担民事责任的能力；</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（2）具有良好的商业信誉和健全的财务会计制度；</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（3）具有履行合同所必需的设备和专业技术能力；</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（4）有依法缴纳税收和社会保障资金的良好记录；</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（5）参加政府采购活动前三年内，在经营活动中没有重大违法记录；</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（6）法律、行政法规规定的其他条件。</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2.落实政府采购政策需满足的资格要求：无。</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（1）经民政部门注册登记，可直接提供养老服务或运营的社会组织；</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（2）经市场监督管理局或数据局注册登记，可直接提供养老服务或运营的企业和机构。</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上述两项条件，满足其中之一即可。</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（3）本项目接受联合体投标，具体要求为:</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④参加联合的各成员单位对本项目不得再以自己名义单独投标，也不得组成新的联合体参加本项目的投标。如果违反，与此有关的联合体的投标将被拒绝。</w:t>
      </w:r>
      <w:r/>
    </w:p>
    <w:p>
      <w:pPr>
        <w:ind w:firstLine="560"/>
        <w:spacing w:line="56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（5）未被“信用中国”网站（www.creditchina.gov.cn）列入失信被执行人、重大税收违法案件当事人名单、政府采购严重失信行为记录名单。</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rPr>
        <w:t xml:space="preserve">三、获</w:t>
      </w:r>
      <w:r>
        <w:rPr>
          <w:rFonts w:hint="eastAsia" w:ascii="仿宋" w:hAnsi="仿宋" w:eastAsia="仿宋" w:cs="仿宋"/>
          <w:color w:val="000000"/>
          <w:sz w:val="28"/>
          <w:szCs w:val="28"/>
          <w:highlight w:val="none"/>
        </w:rPr>
        <w:t xml:space="preserve">取招标文件</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（一）时间：自202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04</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21</w:t>
      </w:r>
      <w:r>
        <w:rPr>
          <w:rFonts w:hint="eastAsia" w:ascii="仿宋" w:hAnsi="仿宋" w:eastAsia="仿宋" w:cs="仿宋"/>
          <w:color w:val="000000"/>
          <w:sz w:val="28"/>
          <w:szCs w:val="28"/>
          <w:highlight w:val="none"/>
        </w:rPr>
        <w:t xml:space="preserve">日 至202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04</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27</w:t>
      </w:r>
      <w:r>
        <w:rPr>
          <w:rFonts w:hint="eastAsia" w:ascii="仿宋" w:hAnsi="仿宋" w:eastAsia="仿宋" w:cs="仿宋"/>
          <w:color w:val="000000"/>
          <w:sz w:val="28"/>
          <w:szCs w:val="28"/>
          <w:highlight w:val="none"/>
        </w:rPr>
        <w:t xml:space="preserve">日截止。</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（二）获取方式：</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highlight w:val="none"/>
        </w:rPr>
        <w:t xml:space="preserve">1.地点：网上注册登记成功后系统内下载</w:t>
      </w:r>
      <w:r>
        <w:rPr>
          <w:rFonts w:hint="eastAsia" w:ascii="仿宋" w:hAnsi="仿宋" w:eastAsia="仿宋" w:cs="仿宋"/>
          <w:color w:val="000000"/>
          <w:sz w:val="28"/>
          <w:szCs w:val="28"/>
        </w:rPr>
        <w:t xml:space="preserve">。</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2.获取方式：本项目采用网上注册登记方式。</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3.潜在投标人访问电子招标投标交易平台的网络地址和方法：</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（2）潜在投标人访问“苏采云”系统的网络地址和方法：“苏采云”系统的网址：http://jszfcg.jsczt.cn/，点击“苏采云”进入系统。</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CA数字证书”的获取：供应商需办理政务CA、方正签章，网址：http://www.ccgp-jiangsu.gov.cn/jiangsu/zlxz/ee/ee3a4bc5a3454aa2b0d9312230633ce9.html,如在切换过程中存在疑问，请联系电话0523-87633965（苏采云平台客服）、0523-81568158（江苏省电子政务证书认证中心CA客服）。</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采购文件（后缀名为“.kedt”）、投标人操作手册及政府采购客户端工具可通过“苏采云”系统--已报名项目--报名详情页面内相应链接进行下载；投标人操作手册及政府采购客户端工具可通过泰州政府采购网—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hint="eastAsia" w:ascii="仿宋" w:hAnsi="仿宋" w:eastAsia="仿宋" w:cs="仿宋"/>
          <w:color w:val="000000"/>
          <w:sz w:val="28"/>
          <w:szCs w:val="28"/>
        </w:rPr>
        <w:t xml:space="preserve">苏采云系统操作手册（投标人）</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”，进行下载。</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（5）招标代理机构（采购代理机构）将数据电文形式的招标文件加载至“苏采云”系统，供潜在投标人下载或者查阅。</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（6）苏采云系统优先使用谷歌浏览器参与不见面开标。</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（7）有关本次采购的事项若存在变动或修改，敬请及时关注“江苏政府采购网”发布的更正公告。</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如潜在投标人未按上述要求操作，将自行承担所产生的风险。</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ascii="仿宋" w:hAnsi="仿宋" w:eastAsia="仿宋" w:cs="仿宋"/>
          <w:color w:val="000000"/>
          <w:sz w:val="28"/>
          <w:szCs w:val="28"/>
        </w:rPr>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rPr>
        <w:t xml:space="preserve">四、提交响应文件截止</w:t>
      </w:r>
      <w:r>
        <w:rPr>
          <w:rFonts w:hint="eastAsia" w:ascii="仿宋" w:hAnsi="仿宋" w:eastAsia="仿宋" w:cs="仿宋"/>
          <w:color w:val="000000"/>
          <w:sz w:val="28"/>
          <w:szCs w:val="28"/>
          <w:highlight w:val="none"/>
        </w:rPr>
        <w:t xml:space="preserve">时间和地点</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招标响应文件递交截止时间：202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日9点</w:t>
      </w:r>
      <w:r>
        <w:rPr>
          <w:rFonts w:hint="eastAsia" w:ascii="仿宋" w:hAnsi="仿宋" w:eastAsia="仿宋" w:cs="仿宋"/>
          <w:color w:val="000000"/>
          <w:sz w:val="28"/>
          <w:szCs w:val="28"/>
          <w:highlight w:val="none"/>
          <w:lang w:val="en-US" w:eastAsia="zh-CN"/>
        </w:rPr>
        <w:t xml:space="preserve">00分</w:t>
      </w:r>
      <w:r>
        <w:rPr>
          <w:rFonts w:hint="eastAsia" w:ascii="仿宋" w:hAnsi="仿宋" w:eastAsia="仿宋" w:cs="仿宋"/>
          <w:color w:val="000000"/>
          <w:sz w:val="28"/>
          <w:szCs w:val="28"/>
          <w:highlight w:val="none"/>
        </w:rPr>
        <w:t xml:space="preserve">(北京时间)</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招标地点：“苏采云”系统（网址：http://jszfcg.jsczt.cn/）“开标大厅，点击“苏采云”进入系统“开标大厅”。</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五、开启</w:t>
      </w:r>
      <w:r/>
    </w:p>
    <w:p>
      <w:pPr>
        <w:pStyle w:val="720"/>
        <w:ind w:firstLine="560"/>
        <w:jc w:val="both"/>
        <w:spacing w:before="0" w:beforeAutospacing="0" w:after="0" w:afterAutospacing="0" w:line="56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时间:202</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年</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rPr>
        <w:t xml:space="preserve">月</w:t>
      </w:r>
      <w:r>
        <w:rPr>
          <w:rFonts w:hint="eastAsia" w:ascii="仿宋" w:hAnsi="仿宋" w:eastAsia="仿宋" w:cs="仿宋"/>
          <w:color w:val="000000"/>
          <w:sz w:val="28"/>
          <w:szCs w:val="28"/>
          <w:highlight w:val="none"/>
          <w:lang w:val="en-US" w:eastAsia="zh-CN"/>
        </w:rPr>
        <w:t xml:space="preserve">11</w:t>
      </w:r>
      <w:r>
        <w:rPr>
          <w:rFonts w:hint="eastAsia" w:ascii="仿宋" w:hAnsi="仿宋" w:eastAsia="仿宋" w:cs="仿宋"/>
          <w:color w:val="000000"/>
          <w:sz w:val="28"/>
          <w:szCs w:val="28"/>
          <w:highlight w:val="none"/>
        </w:rPr>
        <w:t xml:space="preserve">日9点</w:t>
      </w:r>
      <w:r>
        <w:rPr>
          <w:rFonts w:hint="eastAsia" w:ascii="仿宋" w:hAnsi="仿宋" w:eastAsia="仿宋" w:cs="仿宋"/>
          <w:color w:val="000000"/>
          <w:sz w:val="28"/>
          <w:szCs w:val="28"/>
          <w:highlight w:val="none"/>
          <w:lang w:val="en-US" w:eastAsia="zh-CN"/>
        </w:rPr>
        <w:t xml:space="preserve">0</w:t>
      </w:r>
      <w:r>
        <w:rPr>
          <w:rFonts w:hint="eastAsia" w:ascii="仿宋" w:hAnsi="仿宋" w:eastAsia="仿宋" w:cs="仿宋"/>
          <w:color w:val="000000"/>
          <w:sz w:val="28"/>
          <w:szCs w:val="28"/>
          <w:highlight w:val="none"/>
        </w:rPr>
        <w:t xml:space="preserve">0分(北京时间)</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highlight w:val="none"/>
        </w:rPr>
        <w:t xml:space="preserve">地点：兴化市政务服务中心二楼公共资源交易中</w:t>
      </w:r>
      <w:r>
        <w:rPr>
          <w:rFonts w:hint="eastAsia" w:ascii="仿宋" w:hAnsi="仿宋" w:eastAsia="仿宋" w:cs="仿宋"/>
          <w:color w:val="000000"/>
          <w:sz w:val="28"/>
          <w:szCs w:val="28"/>
        </w:rPr>
        <w:t xml:space="preserve">心</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六、公告期限</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自本公告发布之日起5个工作日。</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七、其他补充事宜</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如在报名中有任何疑问，请拨打电子化政府采购技术支持电话：0523-86897512、89182460。</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八、对本次采购提出询问，请按以下方式联系。</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名称：兴化市民政局</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地址：兴化市楚水路35号</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联系方式：成先生    0523-80516502</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称：江苏久格工程项目管理有限公司</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址：兴化市五里东路309号</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联系方式：沙先生    18083718209</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3.项目联系方式</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项目联系人：成先生       沙先生</w:t>
      </w:r>
      <w:r/>
    </w:p>
    <w:p>
      <w:pPr>
        <w:pStyle w:val="720"/>
        <w:ind w:firstLine="560"/>
        <w:jc w:val="both"/>
        <w:spacing w:before="0" w:beforeAutospacing="0" w:after="0" w:afterAutospacing="0"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 话：0523-80516502     18083718209</w:t>
      </w:r>
      <w:r/>
    </w:p>
    <w:p>
      <w:pPr>
        <w:rPr>
          <w:rFonts w:ascii="仿宋" w:hAnsi="仿宋" w:eastAsia="仿宋" w:cs="仿宋"/>
          <w:color w:val="000000"/>
          <w:sz w:val="32"/>
          <w:szCs w:val="32"/>
        </w:rPr>
      </w:pPr>
      <w:r>
        <w:rPr>
          <w:rFonts w:ascii="仿宋" w:hAnsi="仿宋" w:eastAsia="仿宋" w:cs="仿宋"/>
          <w:color w:val="000000"/>
          <w:sz w:val="32"/>
          <w:szCs w:val="32"/>
        </w:rPr>
        <w:br w:type="page" w:clear="all"/>
      </w:r>
      <w:r/>
    </w:p>
    <w:p>
      <w:pPr>
        <w:spacing w:line="400" w:lineRule="exact"/>
        <w:rPr>
          <w:rFonts w:ascii="仿宋" w:hAnsi="仿宋" w:eastAsia="仿宋" w:cs="仿宋"/>
          <w:color w:val="000000"/>
          <w:sz w:val="32"/>
          <w:szCs w:val="32"/>
        </w:rPr>
      </w:pPr>
      <w:r>
        <w:rPr>
          <w:rFonts w:ascii="仿宋" w:hAnsi="仿宋" w:eastAsia="仿宋" w:cs="仿宋"/>
          <w:color w:val="000000"/>
          <w:sz w:val="32"/>
          <w:szCs w:val="32"/>
        </w:rPr>
      </w:r>
      <w:r/>
    </w:p>
    <w:p>
      <w:pPr>
        <w:jc w:val="center"/>
        <w:spacing w:line="500" w:lineRule="exact"/>
        <w:rPr>
          <w:rFonts w:ascii="仿宋" w:hAnsi="仿宋" w:eastAsia="仿宋" w:cs="仿宋"/>
          <w:b/>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第二章  投标人须知</w:t>
      </w:r>
      <w:r/>
    </w:p>
    <w:p>
      <w:pPr>
        <w:jc w:val="center"/>
        <w:rPr>
          <w:rFonts w:ascii="仿宋" w:hAnsi="仿宋" w:eastAsia="仿宋" w:cs="仿宋"/>
          <w:color w:val="000000"/>
          <w:sz w:val="30"/>
          <w:szCs w:val="30"/>
        </w:rPr>
      </w:pPr>
      <w:r>
        <w:rPr>
          <w:rFonts w:ascii="仿宋" w:hAnsi="仿宋" w:eastAsia="仿宋" w:cs="仿宋"/>
          <w:color w:val="000000"/>
          <w:sz w:val="30"/>
          <w:szCs w:val="30"/>
        </w:rPr>
      </w:r>
      <w:r/>
    </w:p>
    <w:p>
      <w:pPr>
        <w:pStyle w:val="735"/>
      </w:pPr>
      <w:r/>
      <w:r/>
    </w:p>
    <w:p>
      <w:pPr>
        <w:jc w:val="center"/>
        <w:rPr>
          <w:rFonts w:ascii="黑体" w:hAnsi="黑体" w:eastAsia="黑体" w:cs="黑体"/>
          <w:b/>
          <w:bCs/>
          <w:color w:val="000000"/>
          <w:sz w:val="60"/>
          <w:szCs w:val="60"/>
        </w:rPr>
      </w:pPr>
      <w:r>
        <w:rPr>
          <w:rFonts w:hint="eastAsia" w:ascii="黑体" w:hAnsi="黑体" w:eastAsia="黑体" w:cs="黑体"/>
          <w:b/>
          <w:bCs/>
          <w:color w:val="000000"/>
          <w:sz w:val="60"/>
          <w:szCs w:val="60"/>
        </w:rPr>
        <w:t xml:space="preserve">目  录</w:t>
      </w:r>
      <w:r/>
    </w:p>
    <w:p>
      <w:pPr>
        <w:ind w:left="420"/>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一、总则</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二、招标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三、投标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四、开标、评标</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五、中标和合同</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六、询问和质疑</w:t>
      </w:r>
      <w:r/>
    </w:p>
    <w:p>
      <w:pPr>
        <w:spacing w:line="360" w:lineRule="auto"/>
        <w:rPr>
          <w:rFonts w:ascii="仿宋" w:hAnsi="仿宋" w:eastAsia="仿宋" w:cs="仿宋"/>
          <w:color w:val="000000"/>
          <w:sz w:val="36"/>
          <w:szCs w:val="36"/>
        </w:rPr>
      </w:pPr>
      <w:r>
        <w:rPr>
          <w:rFonts w:hint="eastAsia" w:ascii="仿宋" w:hAnsi="仿宋" w:eastAsia="仿宋" w:cs="仿宋"/>
          <w:color w:val="000000"/>
          <w:sz w:val="36"/>
          <w:szCs w:val="36"/>
        </w:rPr>
        <w:t xml:space="preserve">七、电子招标投标交易平台</w:t>
      </w:r>
      <w:r/>
    </w:p>
    <w:p>
      <w:pPr>
        <w:rPr>
          <w:rFonts w:ascii="仿宋" w:hAnsi="仿宋" w:eastAsia="仿宋" w:cs="仿宋"/>
          <w:sz w:val="32"/>
          <w:szCs w:val="32"/>
        </w:rPr>
      </w:pPr>
      <w:r>
        <w:rPr>
          <w:rFonts w:ascii="仿宋" w:hAnsi="仿宋" w:eastAsia="仿宋" w:cs="仿宋"/>
          <w:sz w:val="32"/>
          <w:szCs w:val="32"/>
        </w:rPr>
        <w:br w:type="page" w:clear="all"/>
      </w:r>
      <w:r/>
    </w:p>
    <w:p>
      <w:pPr>
        <w:pStyle w:val="687"/>
        <w:ind w:firstLine="0"/>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hint="eastAsia" w:ascii="仿宋" w:hAnsi="仿宋" w:eastAsia="仿宋" w:cs="仿宋"/>
          <w:b/>
          <w:bCs/>
          <w:sz w:val="32"/>
          <w:szCs w:val="32"/>
        </w:rPr>
        <w:t xml:space="preserve">兴化市政府采购不见面交易相关提醒</w:t>
      </w:r>
      <w:r/>
    </w:p>
    <w:p>
      <w:pPr>
        <w:pStyle w:val="734"/>
        <w:rPr>
          <w:rFonts w:ascii="仿宋" w:hAnsi="仿宋" w:eastAsia="仿宋" w:cs="仿宋"/>
          <w:szCs w:val="28"/>
        </w:rPr>
      </w:pPr>
      <w:r>
        <w:rPr>
          <w:rFonts w:ascii="仿宋" w:hAnsi="仿宋" w:eastAsia="仿宋" w:cs="仿宋"/>
          <w:szCs w:val="28"/>
        </w:rPr>
      </w:r>
      <w:r/>
    </w:p>
    <w:p>
      <w:pPr>
        <w:spacing w:line="520" w:lineRule="exact"/>
        <w:rPr>
          <w:rFonts w:ascii="仿宋" w:hAnsi="仿宋" w:eastAsia="仿宋" w:cs="仿宋"/>
          <w:b/>
          <w:bCs/>
          <w:spacing w:val="-3"/>
          <w:sz w:val="28"/>
          <w:szCs w:val="28"/>
        </w:rPr>
      </w:pPr>
      <w:r>
        <w:rPr>
          <w:rFonts w:hint="eastAsia" w:ascii="仿宋" w:hAnsi="仿宋" w:eastAsia="仿宋" w:cs="仿宋"/>
          <w:b/>
          <w:bCs/>
          <w:sz w:val="28"/>
          <w:szCs w:val="28"/>
        </w:rPr>
        <w:t xml:space="preserve">一、政府采购线上合同信用融资功能告知提醒</w:t>
      </w:r>
      <w:r/>
    </w:p>
    <w:p>
      <w:pPr>
        <w:ind w:firstLine="56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政府采购线上合同信用融资（以下简称“政采贷”）功能。成交投标人可凭政府采购合同在中征平台发起贷款申请贷款。</w: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0"/>
        <w:jc w:val="both"/>
        <w:spacing w:beforeAutospacing="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4"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75992174522"/>
                        <pic:cNvPicPr>
                          <a:picLocks noChangeAspect="1"/>
                        </pic:cNvPicPr>
                        <pic:nvPr/>
                      </pic:nvPicPr>
                      <pic:blipFill>
                        <a:blip r:embed="rId14"/>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alse">
                <v:path textboxrect="0,0,0,0"/>
                <v:imagedata r:id="rId14" o:title=""/>
              </v:shape>
            </w:pict>
          </mc:Fallback>
        </mc:AlternateConten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2.常见问题</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答：江苏省内采用国库集中支付的政府采购项目的中标投标人，可凭政府采购合同申请"政采贷"。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Q2：投标人在哪里申请“政采贷”？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答：中标投标人在“中征应收账款融资服务平台”（简称“中征平台”）上向意向银行发起融资申请</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Q3：中标投标人要注意什么？</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答：中标投标人要加强和采购单位的沟通协调，尽早确定融资需求。需要“政采贷”融资的，政府采购合同付款账号应当空置。</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答：采购单位在“苏采云”系统中公示政府采购合同时，要勾选融资标识，为中标投标人融资提供便利。如后续融资失败，采购单位要及时维护中标投标人相关账号信息，按时支付款项。</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0"/>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0"/>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730"/>
          <w:rFonts w:hint="eastAsia" w:ascii="仿宋" w:hAnsi="仿宋" w:eastAsia="仿宋" w:cs="仿宋"/>
          <w:spacing w:val="1"/>
          <w:sz w:val="28"/>
          <w:szCs w:val="28"/>
        </w:rPr>
        <w:t xml:space="preserve">http://www.ccgp-jiangsu.gov.cn/jiangsu/paying.html</w:t>
      </w:r>
      <w:r>
        <w:rPr>
          <w:rStyle w:val="730"/>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730"/>
          <w:rFonts w:hint="eastAsia" w:ascii="仿宋" w:hAnsi="仿宋" w:eastAsia="仿宋" w:cs="仿宋"/>
          <w:spacing w:val="1"/>
          <w:sz w:val="28"/>
          <w:szCs w:val="28"/>
        </w:rPr>
        <w:t xml:space="preserve">https://www.crcrfsp.com/</w:t>
      </w:r>
      <w:r>
        <w:rPr>
          <w:rStyle w:val="730"/>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rPr>
          <w:rFonts w:ascii="仿宋" w:hAnsi="仿宋" w:eastAsia="仿宋" w:cs="仿宋"/>
          <w:spacing w:val="1"/>
          <w:sz w:val="32"/>
          <w:szCs w:val="32"/>
        </w:rPr>
      </w:pPr>
      <w:r>
        <w:rPr>
          <w:rFonts w:ascii="仿宋" w:hAnsi="仿宋" w:eastAsia="仿宋" w:cs="仿宋"/>
          <w:spacing w:val="1"/>
          <w:sz w:val="32"/>
          <w:szCs w:val="32"/>
        </w:rPr>
        <w:br w:type="page" w:clear="all"/>
      </w:r>
      <w:r/>
    </w:p>
    <w:p>
      <w:pPr>
        <w:spacing w:line="46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一、总  则</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 采购人</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1.1采购人是指依法进行政府采购的国家机关、事业单位、团体组织。本项目采购人：见招标文件第三章《投标资料表》。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2. 政府采购方式</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2.1政府采购货物和服务（以下简称货物服务）</w:t>
      </w:r>
      <w:r>
        <w:rPr>
          <w:rFonts w:hint="eastAsia" w:ascii="仿宋" w:hAnsi="仿宋" w:eastAsia="仿宋" w:cs="仿宋"/>
          <w:sz w:val="28"/>
          <w:szCs w:val="28"/>
        </w:rPr>
        <w:t xml:space="preserve">招标分为公开招标和邀请招标。本次采购采用的政府采购方式：见招标文件第三章《投标资料表》。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 采购人应当在货物服务招标投标活动中落实节约能源、保护环境、扶持不发达地区和少数民族地区、促进中小企业发展等政府采购政策。</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5. 采购人委托采购代理机构代理招标的，采购代理机构应当在采购人委托的范围内依法开展采购活动。本项目采购代理机构：见招标文件第三章《投标资料表》。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6. 投标费用</w:t>
      </w:r>
      <w:r/>
    </w:p>
    <w:p>
      <w:pPr>
        <w:ind w:firstLine="560"/>
        <w:rPr>
          <w:rFonts w:ascii="仿宋" w:hAnsi="仿宋" w:eastAsia="仿宋" w:cs="仿宋"/>
          <w:b/>
          <w:color w:val="000000"/>
          <w:sz w:val="28"/>
          <w:szCs w:val="28"/>
        </w:rPr>
      </w:pPr>
      <w:r>
        <w:rPr>
          <w:rFonts w:hint="eastAsia" w:ascii="仿宋" w:hAnsi="仿宋" w:eastAsia="仿宋" w:cs="仿宋"/>
          <w:color w:val="000000"/>
          <w:sz w:val="28"/>
          <w:szCs w:val="28"/>
        </w:rPr>
        <w:t xml:space="preserve">6.1 投标人应承担所有与准备和参加投标有关的费用，无论投标的结果如何，采购人和采购代理机构对上述费用不承担任何责任和义务。</w:t>
      </w:r>
      <w:r/>
    </w:p>
    <w:p>
      <w:pPr>
        <w:jc w:val="center"/>
        <w:spacing w:line="480" w:lineRule="exact"/>
        <w:rPr>
          <w:rFonts w:ascii="黑体" w:eastAsia="黑体"/>
          <w:b/>
          <w:color w:val="000000"/>
          <w:sz w:val="28"/>
          <w:szCs w:val="28"/>
        </w:rPr>
      </w:pPr>
      <w:r>
        <w:rPr>
          <w:rFonts w:hint="eastAsia" w:ascii="黑体" w:eastAsia="黑体"/>
          <w:b/>
          <w:bCs/>
          <w:color w:val="000000"/>
          <w:sz w:val="32"/>
        </w:rPr>
        <w:t xml:space="preserve">二、招  标</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7. 招标文件的内容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7.1招标文件包括以下内容：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第一章 投标邀请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第二章 投标人须知</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第三章 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第四章 评标标准</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第六章 采购需求</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第七章 投标文件相关格式</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8. 采购需求：见招标文件第六章《采购需求》。</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9. 采购项目预算金额、最高限价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9.1 采购项目预算金额：见招标文件第三章《投标资料表》。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10. 样品</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10.1本项目对样品的要求：见招标文件第三章《投标资料表》。</w:t>
      </w:r>
      <w:r/>
    </w:p>
    <w:p>
      <w:pPr>
        <w:ind w:firstLine="560"/>
        <w:rPr>
          <w:rFonts w:ascii="仿宋" w:hAnsi="仿宋" w:eastAsia="仿宋" w:cs="仿宋"/>
          <w:color w:val="000000"/>
          <w:sz w:val="28"/>
          <w:szCs w:val="28"/>
        </w:rPr>
      </w:pPr>
      <w:r>
        <w:rPr>
          <w:rFonts w:ascii="仿宋" w:hAnsi="仿宋" w:eastAsia="仿宋" w:cs="仿宋"/>
          <w:color w:val="000000"/>
          <w:sz w:val="28"/>
          <w:szCs w:val="28"/>
        </w:rPr>
        <w:t xml:space="preserve">11.</w:t>
      </w:r>
      <w:r>
        <w:rPr>
          <w:rFonts w:hint="eastAsia" w:ascii="仿宋" w:hAnsi="仿宋" w:eastAsia="仿宋" w:cs="仿宋"/>
          <w:color w:val="000000"/>
          <w:sz w:val="28"/>
          <w:szCs w:val="28"/>
        </w:rPr>
        <w:t xml:space="preserve">投标有效期</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11.1投标有效期从提交投标文件的截止之日起算。</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11.2投标有效期: 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12. 招标文件售价</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12.1招标文件售价：见招标文件第三章《投标资料表》。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13. 采购代理机构代理费用的收取标准和方式</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13.1 采购代理机构代理费用的收取标准和方式：见招标文件第三章《投标资料表》。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 现场考察或者开标前答疑会</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14.1 在招标文件提供期限截止后。</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14.2 现场考察：见招标文件第三章《投标资料表》。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14.3 开标前答疑会：见招标文件第三章《投标资料表》。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 招标文件的澄清或者修改</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 终止招标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17. 投标人信用信息查询渠道及截止时点、信用信息查询记录和证据留存的具体方式、信用信息的使用规则等：见招标文件第三章《投标资料表》。</w:t>
      </w:r>
      <w:r/>
    </w:p>
    <w:p>
      <w:pPr>
        <w:jc w:val="center"/>
        <w:spacing w:line="480" w:lineRule="exact"/>
        <w:rPr>
          <w:rFonts w:ascii="仿宋" w:hAnsi="仿宋" w:eastAsia="仿宋" w:cs="仿宋"/>
          <w:color w:val="000000"/>
          <w:sz w:val="28"/>
          <w:szCs w:val="28"/>
        </w:rPr>
      </w:pPr>
      <w:r>
        <w:rPr>
          <w:rFonts w:hint="eastAsia" w:ascii="黑体" w:eastAsia="黑体"/>
          <w:b/>
          <w:bCs/>
          <w:color w:val="000000"/>
          <w:sz w:val="32"/>
        </w:rPr>
        <w:t xml:space="preserve">三、投  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 投标人</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18.1 投标人，是指响应招标、参加投标竞争的法人、其他组织或者自然人。</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18.2 投标人应当遵循公平竞争的原则，不得恶意串通，不得妨碍其他投标人的竞争行为，不得损害采购人或者其他投标人的合法权益。</w:t>
      </w:r>
      <w:r/>
    </w:p>
    <w:p>
      <w:pPr>
        <w:ind w:firstLine="560"/>
        <w:rPr>
          <w:rFonts w:ascii="仿宋" w:hAnsi="仿宋" w:eastAsia="仿宋" w:cs="仿宋"/>
          <w:color w:val="000000"/>
          <w:sz w:val="28"/>
          <w:szCs w:val="28"/>
        </w:rPr>
      </w:pPr>
      <w:r>
        <w:rPr>
          <w:rFonts w:hint="eastAsia" w:ascii="仿宋" w:hAnsi="仿宋" w:eastAsia="仿宋" w:cs="仿宋"/>
          <w:color w:val="000000"/>
          <w:sz w:val="28"/>
          <w:szCs w:val="28"/>
        </w:rPr>
        <w:t xml:space="preserve">18.3 投标人的资格要求：见招标文件第三章《投标资料表》。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19. 投标文件</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19.1 投标人应当按照招标文件的要求编制投标文件。投标文件应当对招标文件提出的要求和条件作出明确响应。</w:t>
      </w:r>
      <w:r/>
    </w:p>
    <w:p>
      <w:pPr>
        <w:ind w:firstLine="560"/>
        <w:rPr>
          <w:rFonts w:ascii="仿宋" w:hAnsi="仿宋" w:eastAsia="仿宋" w:cs="仿宋"/>
          <w:sz w:val="28"/>
          <w:szCs w:val="28"/>
        </w:rPr>
      </w:pPr>
      <w:r>
        <w:rPr>
          <w:rFonts w:hint="eastAsia" w:ascii="仿宋" w:hAnsi="仿宋" w:eastAsia="仿宋" w:cs="仿宋"/>
          <w:sz w:val="28"/>
          <w:szCs w:val="28"/>
        </w:rPr>
        <w:t xml:space="preserve">19.2 投标文件编制要求：见招标文件第三章《投标资料表》。</w:t>
      </w:r>
      <w:r/>
    </w:p>
    <w:p>
      <w:pPr>
        <w:pStyle w:val="697"/>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19.3电子投标文件其他要求</w:t>
      </w:r>
      <w:r/>
    </w:p>
    <w:p>
      <w:pPr>
        <w:pStyle w:val="697"/>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（1）电子招标投标交易平台（即“苏采云”系统）相关要求是本招标文件的组成部分。</w:t>
      </w:r>
      <w:r/>
    </w:p>
    <w:p>
      <w:pPr>
        <w:pStyle w:val="697"/>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（2）投标人应对CA证书妥善保管，如被他人盗用投标，因此带来的结果均由投标人自行承担。</w:t>
      </w:r>
      <w:r/>
    </w:p>
    <w:p>
      <w:pPr>
        <w:pStyle w:val="697"/>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（3）投标人应当对招标文件提出的实质性要求和条件作出实质性响应，并在电子投标系统逐条应答。</w:t>
      </w:r>
      <w:r/>
    </w:p>
    <w:p>
      <w:pPr>
        <w:pStyle w:val="697"/>
        <w:ind w:left="0" w:right="1323" w:firstLine="562"/>
        <w:rPr>
          <w:rFonts w:ascii="仿宋" w:hAnsi="仿宋" w:eastAsia="仿宋" w:cs="仿宋"/>
          <w:b/>
          <w:bCs/>
          <w:sz w:val="28"/>
          <w:szCs w:val="28"/>
        </w:rPr>
      </w:pPr>
      <w:r>
        <w:rPr>
          <w:rFonts w:hint="eastAsia" w:ascii="仿宋" w:hAnsi="仿宋" w:eastAsia="仿宋" w:cs="仿宋"/>
          <w:b/>
          <w:bCs/>
          <w:sz w:val="28"/>
          <w:szCs w:val="28"/>
        </w:rPr>
        <w:t xml:space="preserve">（4）投标人应对要求提供的资格证明文件（如资质证书、资格证书）、技术资料（如白皮书、彩页、手册、检测报告等）扫描上传至投标系统。</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19.4 投标文件的份数：见招标文件第三章《投标资料表》。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19.5 投标文件的退还：见招标文件第三章《投标资料表》。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19.6 投标文件的密封、签署、盖章要求：见招标文件第三章《投标资料表》。</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19.7投标文件中承诺的投标有效期应当不少于招标文件中载明的投标有效期。</w:t>
      </w:r>
      <w:r/>
    </w:p>
    <w:p>
      <w:pPr>
        <w:ind w:firstLine="560"/>
        <w:jc w:val="left"/>
        <w:widowControl/>
        <w:rPr>
          <w:rFonts w:ascii="仿宋" w:hAnsi="仿宋" w:eastAsia="仿宋" w:cs="仿宋"/>
          <w:b/>
          <w:bCs/>
          <w:sz w:val="28"/>
          <w:szCs w:val="28"/>
        </w:rPr>
      </w:pPr>
      <w:r>
        <w:rPr>
          <w:rFonts w:hint="eastAsia" w:ascii="仿宋" w:hAnsi="仿宋" w:eastAsia="仿宋" w:cs="仿宋"/>
          <w:sz w:val="28"/>
          <w:szCs w:val="28"/>
        </w:rPr>
        <w:t xml:space="preserve">19.8</w:t>
      </w:r>
      <w:r>
        <w:rPr>
          <w:rFonts w:hint="eastAsia" w:ascii="仿宋" w:hAnsi="仿宋" w:eastAsia="仿宋" w:cs="仿宋"/>
          <w:b/>
          <w:bCs/>
          <w:sz w:val="28"/>
          <w:szCs w:val="28"/>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560"/>
        <w:jc w:val="left"/>
        <w:widowControl/>
        <w:rPr>
          <w:rFonts w:ascii="仿宋" w:hAnsi="仿宋" w:eastAsia="仿宋" w:cs="仿宋"/>
          <w:sz w:val="28"/>
          <w:szCs w:val="28"/>
        </w:rPr>
      </w:pPr>
      <w:r>
        <w:rPr>
          <w:rFonts w:hint="eastAsia" w:ascii="仿宋" w:hAnsi="仿宋" w:eastAsia="仿宋" w:cs="仿宋"/>
          <w:sz w:val="28"/>
          <w:szCs w:val="28"/>
        </w:rPr>
        <w:t xml:space="preserve">19.9 投标人在投标截止时间前，可以对所提交的投标文件进行补充、修改或者撤回。</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 投标报价要求</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20.1 投标人应按照招标文件的要求报出分项价格和总价。</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20.2 投标人应按照招标文件的要求进行报价，如有偏离，应在《偏离表》中列出。</w:t>
      </w:r>
      <w:r/>
    </w:p>
    <w:p>
      <w:pPr>
        <w:ind w:firstLine="560"/>
        <w:jc w:val="left"/>
        <w:widowControl/>
        <w:rPr>
          <w:rFonts w:ascii="仿宋" w:hAnsi="仿宋" w:eastAsia="仿宋" w:cs="仿宋"/>
          <w:bCs/>
          <w:color w:val="000000"/>
          <w:sz w:val="28"/>
          <w:szCs w:val="28"/>
        </w:rPr>
      </w:pPr>
      <w:r>
        <w:rPr>
          <w:rFonts w:hint="eastAsia" w:ascii="仿宋" w:hAnsi="仿宋" w:eastAsia="仿宋" w:cs="仿宋"/>
          <w:color w:val="000000"/>
          <w:sz w:val="28"/>
          <w:szCs w:val="28"/>
        </w:rPr>
        <w:t xml:space="preserve">20.3 </w:t>
      </w:r>
      <w:r>
        <w:rPr>
          <w:rFonts w:hint="eastAsia" w:ascii="仿宋" w:hAnsi="仿宋" w:eastAsia="仿宋" w:cs="仿宋"/>
          <w:bCs/>
          <w:color w:val="000000"/>
          <w:sz w:val="28"/>
          <w:szCs w:val="28"/>
        </w:rPr>
        <w:t xml:space="preserve">采购人不支付报价以外的任何费用。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20.4 投标人的投标报价在合同执行过程中是固定的，不得以任何理由予以变更。</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20.5投标人只能提交一个投标报价，提交2个以上投标报价的投标文件在符合性审查时按照投标无效处理。</w:t>
      </w:r>
      <w:r/>
    </w:p>
    <w:p>
      <w:pPr>
        <w:ind w:firstLine="560"/>
        <w:jc w:val="left"/>
        <w:widowControl/>
        <w:rPr>
          <w:rFonts w:ascii="仿宋" w:hAnsi="仿宋" w:eastAsia="仿宋" w:cs="仿宋"/>
          <w:bCs/>
          <w:color w:val="000000"/>
          <w:sz w:val="28"/>
          <w:szCs w:val="28"/>
        </w:rPr>
      </w:pPr>
      <w:r>
        <w:rPr>
          <w:rFonts w:hint="eastAsia" w:ascii="仿宋" w:hAnsi="仿宋" w:eastAsia="仿宋" w:cs="仿宋"/>
          <w:color w:val="000000"/>
          <w:sz w:val="28"/>
          <w:szCs w:val="28"/>
        </w:rPr>
        <w:t xml:space="preserve">20.6 </w:t>
      </w:r>
      <w:r>
        <w:rPr>
          <w:rFonts w:hint="eastAsia" w:ascii="仿宋" w:hAnsi="仿宋" w:eastAsia="仿宋" w:cs="仿宋"/>
          <w:bCs/>
          <w:color w:val="000000"/>
          <w:sz w:val="28"/>
          <w:szCs w:val="28"/>
        </w:rPr>
        <w:t xml:space="preserve">不接受超过采购项目预算金额的投标报价。具体</w:t>
      </w:r>
      <w:r>
        <w:rPr>
          <w:rFonts w:hint="eastAsia" w:ascii="仿宋" w:hAnsi="仿宋" w:eastAsia="仿宋" w:cs="仿宋"/>
          <w:color w:val="000000"/>
          <w:sz w:val="28"/>
          <w:szCs w:val="28"/>
        </w:rPr>
        <w:t xml:space="preserve">见招标文件第三章《投标资料表》</w:t>
      </w:r>
      <w:r>
        <w:rPr>
          <w:rFonts w:hint="eastAsia" w:ascii="仿宋" w:hAnsi="仿宋" w:eastAsia="仿宋" w:cs="仿宋"/>
          <w:bCs/>
          <w:color w:val="000000"/>
          <w:sz w:val="28"/>
          <w:szCs w:val="28"/>
        </w:rPr>
        <w:t xml:space="preserve">。</w:t>
      </w:r>
      <w:r/>
    </w:p>
    <w:p>
      <w:pPr>
        <w:ind w:firstLine="562"/>
        <w:jc w:val="left"/>
        <w:widowControl/>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21.投标人不需交纳投标保证金。</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22.投标截止时间、投标文件开始接收时间、投标文件接收截止时间、投标文件的接收地点：</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22.1投标截止时间：见招标文件第三章《投标资料表》。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22.2投标文件开始接收时间、投标文件接收截止时间、投标文件的接收地点：见招标文件第三章《投标资料表》。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23.分包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23.2 招标文件对本项目分包的规定：见招标文件第三章《投标资料表》。</w:t>
      </w:r>
      <w:r/>
    </w:p>
    <w:p>
      <w:pPr>
        <w:ind w:firstLine="560"/>
        <w:jc w:val="left"/>
        <w:widowControl/>
        <w:rPr>
          <w:rFonts w:ascii="仿宋" w:hAnsi="仿宋" w:eastAsia="仿宋" w:cs="仿宋"/>
          <w:color w:val="000000"/>
          <w:sz w:val="28"/>
          <w:szCs w:val="28"/>
        </w:rPr>
      </w:pPr>
      <w:r>
        <w:rPr>
          <w:rFonts w:ascii="仿宋" w:hAnsi="仿宋" w:eastAsia="仿宋" w:cs="仿宋"/>
          <w:color w:val="000000"/>
          <w:sz w:val="28"/>
          <w:szCs w:val="28"/>
        </w:rPr>
        <w:t xml:space="preserve">24.</w:t>
      </w:r>
      <w:r>
        <w:rPr>
          <w:rFonts w:hint="eastAsia" w:ascii="仿宋" w:hAnsi="仿宋" w:eastAsia="仿宋" w:cs="仿宋"/>
          <w:color w:val="000000"/>
          <w:sz w:val="28"/>
          <w:szCs w:val="28"/>
        </w:rPr>
        <w:t xml:space="preserve">相同品牌产品投标</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25. 有下列情形之一的，视为投标人串通投标，其投标无效：</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（一）不同投标人的投标文件由同一单位或者个人编制；</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（二）不同投标人委托同一单位或者个人办理投标事宜；</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（三）不同投标人的投标文件载明的项目管理成员或者联系人员为同一人；</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（四）不同投标人的投标文件异常一致或者投标报价呈规律性差异；</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（五）不同投标人的投标文件相互混装。</w:t>
      </w:r>
      <w:r/>
    </w:p>
    <w:p>
      <w:pPr>
        <w:jc w:val="center"/>
        <w:spacing w:line="480" w:lineRule="exact"/>
        <w:rPr>
          <w:rFonts w:ascii="黑体" w:eastAsia="黑体"/>
          <w:b/>
          <w:bCs/>
          <w:color w:val="000000"/>
          <w:sz w:val="32"/>
        </w:rPr>
      </w:pPr>
      <w:r>
        <w:rPr>
          <w:rFonts w:hint="eastAsia" w:ascii="黑体" w:eastAsia="黑体"/>
          <w:b/>
          <w:bCs/>
          <w:color w:val="000000"/>
          <w:sz w:val="32"/>
        </w:rPr>
        <w:t xml:space="preserve">四、开标、评标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 开标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26.1 开标应当在招标文件确定的提交投标文件截止时间的同一时间进行。开标地点应当为招标文件中预先确定的地点。开标时间及地点：见招标文件第三章《投标资料表》。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26.2 开标由采购人或者采购代理机构主持，邀请投标人参加。投标人法定代表人或其委托代理人未参加开标会议的将视为自动弃权。</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26.3</w:t>
      </w:r>
      <w:r>
        <w:rPr>
          <w:rFonts w:hint="eastAsia" w:ascii="仿宋" w:hAnsi="仿宋" w:eastAsia="仿宋" w:cs="仿宋"/>
          <w:color w:val="c00000"/>
          <w:sz w:val="28"/>
          <w:szCs w:val="28"/>
        </w:rPr>
        <w:t xml:space="preserve"> </w:t>
      </w:r>
      <w:r>
        <w:rPr>
          <w:rFonts w:hint="eastAsia" w:ascii="仿宋" w:hAnsi="仿宋" w:eastAsia="仿宋" w:cs="仿宋"/>
          <w:color w:val="000000"/>
          <w:sz w:val="28"/>
          <w:szCs w:val="28"/>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26.4开标过程应当由采购人或者采购代理机构负责记录，由参加开标的各投标人代表和相关工作人员签字确认后随采购文件一并存档。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投标人未参加开标的，视同认可开标结果。</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评标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27.1 公开招标采购项目开标结束后，采购人或采购代理机构依法对投标人的资格进行审查。</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合格投标人不足3家的，不得评标。</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27.2 评标工作由采购代理机构负责组织，并履行下列职责：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（一）核对评审专家身份和采购人代表授权函，对评审专家在政府采购活动中的职责履行情况予以记录，并及时将有关违法违规行为向财政部门报告；</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（二）宣布评标纪律；</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（三）公布投标人名单，告知评审专家应当回避的情形；</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（四）组织评标委员会推选评标组长，采购人代表不得担任组长；</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（五）在评标期间采取必要的通讯管理措施，保证评标活动不受外界干扰；</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（六）根据评标委员会的要求介绍政府采购相关政策法规、招标文件；</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（七）维护评标秩序，监督评标委员会依照招标文件规定的评标程序、方法和标准进行独立评审，及时制止和纠正采购人代表、评审专家的倾向性言论或者违法违规行为；</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（八）核对评标结果，有《</w:t>
      </w:r>
      <w:r>
        <w:fldChar w:fldCharType="begin"/>
      </w:r>
      <w:r>
        <w:instrText xml:space="preserve"> HYPERLINK "http://www.caigou2003.com/" \t "_blank" </w:instrText>
      </w:r>
      <w: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货物和服务招标投标管理办法》第六十四条规定情形的，要求评标委员会复核或者书面说明理由，评标委员会拒绝的，应予记录并向本级财政部门报告；</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（九）评审工作完成后，按照规定向评审专家支付劳务报酬和异地评审差旅费，不得向评审专家以外的其他人员支付评审劳务报酬；</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（十）处理与评标有关的其他事项。</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采购人可以在评标前说明项目背景和采购需求，说明内容不得含有歧视性、倾向性意见，不得超出招标文件所述范围。说明应当提交书面材料，并随采购文件一并存档。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27.3 评标委员会负责具体评标事务，并独立履行下列职责：</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（一）审查、评价投标文件是否符合招标文件的商务、技术等实质性要求；</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（二）要求投标人对投标文件有关事项作出澄清或者说明；</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（三）对投标文件进行比较和评价；</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（四）确定中标候选人名单，以及根据采购人委托直接确定中标人；</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（五）向采购人、采购代理机构或者有关部门报告评标中发现的违法行为。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28. 评标委员会应当对符合资格的投标人的投标文件进行符合性审查，以确定其是否满足招标文件的实质性要求。</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29. 对于投标文件中含义不明确、同类问题表述不一致或者有明显文字和计算错误的内容，评标委员会应当以书面形式要求投标人作出必要的澄清、说明或者补正。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560"/>
        <w:jc w:val="left"/>
        <w:spacing w:after="181"/>
        <w:widowControl/>
        <w:rPr>
          <w:rFonts w:ascii="仿宋" w:hAnsi="仿宋" w:eastAsia="仿宋" w:cs="仿宋"/>
          <w:sz w:val="28"/>
          <w:szCs w:val="28"/>
        </w:rPr>
      </w:pPr>
      <w:r>
        <w:rPr>
          <w:rFonts w:hint="eastAsia" w:ascii="仿宋" w:hAnsi="仿宋" w:eastAsia="仿宋" w:cs="仿宋"/>
          <w:sz w:val="28"/>
          <w:szCs w:val="28"/>
        </w:rPr>
        <w:t xml:space="preserve">30.评标委员会应当按照招标文件中规定的评标方法和标准，对符合性审查合格的投标文件进行商务和技术评估，综合比较与评价。</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 评标方法、评标标准。 </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31.1 评标方法分为最低评标价法和综合评分法。本项目的评标方法：</w:t>
      </w:r>
      <w:r>
        <w:rPr>
          <w:rFonts w:hint="eastAsia" w:cs="仿宋" w:asciiTheme="minorEastAsia" w:hAnsiTheme="minorEastAsia" w:eastAsiaTheme="minorEastAsia"/>
          <w:b/>
          <w:bCs/>
          <w:sz w:val="28"/>
          <w:szCs w:val="28"/>
          <w:u w:val="single"/>
        </w:rPr>
        <w:t xml:space="preserve">综合评分法</w:t>
      </w:r>
      <w:r>
        <w:rPr>
          <w:rFonts w:hint="eastAsia" w:cs="仿宋" w:asciiTheme="minorEastAsia" w:hAnsiTheme="minorEastAsia" w:eastAsiaTheme="minorEastAsia"/>
          <w:b/>
          <w:bCs/>
          <w:sz w:val="28"/>
          <w:szCs w:val="28"/>
        </w:rPr>
        <w:t xml:space="preserve">。</w:t>
      </w:r>
      <w:r>
        <w:rPr>
          <w:rFonts w:hint="eastAsia" w:ascii="仿宋" w:hAnsi="仿宋" w:eastAsia="仿宋" w:cs="仿宋"/>
          <w:color w:val="000000"/>
          <w:sz w:val="28"/>
          <w:szCs w:val="28"/>
        </w:rPr>
        <w:t xml:space="preserve">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31.2 本项目的评标标准：见招标文件第四章《评标标准》。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 投标文件报价出现前后不一致的，除招标文件另有规定外，按照下列规定修正：</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（一）投标文件中开标一览表（报价表）内容与投标文件中相应内容不一致的，以开标一览表（报价表）为准；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（二）大写金额和小写金额不一致的，以大写金额为准；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（三）单价金额小数点或者百分比有明显错位的，以开标一览表的总价为准，并修改单价；</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（四）总价金额与按单价汇总金额不一致的，以单价金额计算结果为准。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同时出现两种以上不一致的，按照前款规定的顺序修正。修正后的报价按照第29条第二款的规定经投标人确认后产生约束力，投标人不确认的，其投标无效。</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35. 投标人存在下列情况之一的，投标无效:</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（一）投标文件未按招标文件要求签署、盖章的；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（二）不具备招标文件中规定的资格要求的；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（三）报价超过招标文件中规定的预算金额或者最高限价的；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（四）投标文件含有采购人不能接受的附加条件的；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（五）投标人未在规定时间内解密电子投标文件的；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（六）投标文件未按招标文件规定的内容和要求填写的；没有在投标系统指定位置上传对应文件、材料的；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（七）不同投标人投标文件内容存在非正常一致、项目组成员出现同一人、投标文件中错误（ 或异常）一致或雷同、电子文档信息一致或雷同的、投标报价呈规律性差异的；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（八）法律、法规和招标文件规定的其他无效情形。</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36. 评标委员会发现招标文件存在歧义、重大缺陷导致评标工作无法进行，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37.废标条款。</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出现下列情形之一的，应予废标：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（一）符合专业条件的投标人或者对招标文件作实质响应的投标人不足三家的；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（二）出现影响采购公正的违法、违规行为的；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（三）投标人的报价均超过了采购预算，采购人不能支付的；</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（四）因重大变故，采购任务取消的。</w:t>
      </w:r>
      <w:r/>
    </w:p>
    <w:p>
      <w:pPr>
        <w:jc w:val="center"/>
        <w:spacing w:line="480" w:lineRule="exact"/>
        <w:rPr>
          <w:rFonts w:ascii="黑体" w:eastAsia="黑体"/>
          <w:b/>
          <w:bCs/>
          <w:color w:val="000000"/>
          <w:sz w:val="32"/>
        </w:rPr>
      </w:pPr>
      <w:r>
        <w:rPr>
          <w:rFonts w:hint="eastAsia" w:ascii="黑体" w:eastAsia="黑体"/>
          <w:b/>
          <w:bCs/>
          <w:color w:val="000000"/>
          <w:sz w:val="32"/>
        </w:rPr>
        <w:t xml:space="preserve">五、中标和合同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 确定中标人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38.1 采购代理机构应当在评标结束后2个工作日内将评标报告送采购人。</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40. 中标通知书发出后，采购人不得违法改变中标结果，中标人无正当理由不得放弃中标。</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41.签订政府采购合同</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采购人不得向中标人提出任何不合理的要求作为签订合同的条件。</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41.3 政府采购合同应当包括采购人与中标人的名称和住所、标的、数量、质量、价款或者报酬、履行期限及地点和方式、验收要求、违约责任、解决争议的方法等内容。</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42. 采购人与中标人应当根据合同的约定依法履行合同义务。</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政府采购合同的履行、违约责任和解决争议的方法等适用《中华人民共和国民法典》。</w:t>
      </w:r>
      <w:r/>
    </w:p>
    <w:p>
      <w:pPr>
        <w:jc w:val="center"/>
        <w:spacing w:line="480" w:lineRule="exact"/>
        <w:rPr>
          <w:rFonts w:ascii="黑体" w:eastAsia="黑体"/>
          <w:b/>
          <w:bCs/>
          <w:color w:val="000000"/>
          <w:sz w:val="32"/>
        </w:rPr>
      </w:pPr>
      <w:r>
        <w:rPr>
          <w:rFonts w:hint="eastAsia" w:ascii="黑体" w:eastAsia="黑体"/>
          <w:b/>
          <w:bCs/>
          <w:color w:val="000000"/>
          <w:sz w:val="32"/>
        </w:rPr>
        <w:t xml:space="preserve">六、询问和质疑</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43. 询问和质疑</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投标人对政府采购活动实现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spacing w:line="480" w:lineRule="exact"/>
        <w:rPr>
          <w:rFonts w:ascii="黑体" w:eastAsia="黑体"/>
          <w:b/>
          <w:bCs/>
          <w:color w:val="000000"/>
          <w:sz w:val="32"/>
        </w:rPr>
      </w:pPr>
      <w:r>
        <w:rPr>
          <w:rFonts w:hint="eastAsia" w:ascii="黑体" w:eastAsia="黑体"/>
          <w:b/>
          <w:bCs/>
          <w:color w:val="000000"/>
          <w:sz w:val="32"/>
        </w:rPr>
        <w:t xml:space="preserve">七、电子招标投标交易平台</w:t>
      </w:r>
      <w:r/>
    </w:p>
    <w:p>
      <w:pPr>
        <w:ind w:firstLine="560"/>
        <w:jc w:val="left"/>
        <w:spacing w:after="181"/>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44. 电子招标投标交易平台（即“苏采云”系统，网址：</w:t>
      </w:r>
      <w:r>
        <w:fldChar w:fldCharType="begin"/>
      </w:r>
      <w:r>
        <w:instrText xml:space="preserve"> HYPERLINK "http://jszfcg.jsczt.cn/" \o "http://jszfcg.jsczt.cn/" </w:instrText>
      </w:r>
      <w:r>
        <w:fldChar w:fldCharType="separate"/>
      </w:r>
      <w:r>
        <w:rPr>
          <w:rFonts w:hint="eastAsia" w:ascii="仿宋" w:hAnsi="仿宋" w:eastAsia="仿宋" w:cs="仿宋"/>
          <w:color w:val="000000"/>
          <w:sz w:val="28"/>
          <w:szCs w:val="28"/>
        </w:rPr>
        <w:t xml:space="preserve">http://jszfcg.jsczt.cn/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）相关要求是本招标文件的组成部分。</w:t>
      </w:r>
      <w:r/>
    </w:p>
    <w:p>
      <w:pPr>
        <w:jc w:val="center"/>
        <w:spacing w:line="560" w:lineRule="exact"/>
        <w:rPr>
          <w:rFonts w:ascii="仿宋" w:hAnsi="仿宋" w:eastAsia="仿宋" w:cs="仿宋"/>
          <w:b/>
          <w:color w:val="000000"/>
          <w:sz w:val="28"/>
          <w:szCs w:val="28"/>
        </w:rPr>
      </w:pPr>
      <w:r>
        <w:rPr>
          <w:rFonts w:ascii="仿宋" w:hAnsi="仿宋" w:eastAsia="仿宋" w:cs="仿宋"/>
          <w:b/>
          <w:color w:val="000000"/>
          <w:sz w:val="28"/>
          <w:szCs w:val="28"/>
        </w:rPr>
      </w:r>
      <w:r/>
    </w:p>
    <w:p>
      <w:r>
        <w:br w:type="page" w:clear="all"/>
      </w:r>
      <w:r/>
    </w:p>
    <w:p>
      <w:r/>
      <w:r/>
    </w:p>
    <w:p>
      <w:pPr>
        <w:jc w:val="center"/>
        <w:spacing w:line="500" w:lineRule="exact"/>
        <w:rPr>
          <w:rFonts w:ascii="黑体" w:hAnsi="Century Schoolbook" w:eastAsia="黑体"/>
          <w:color w:val="000000"/>
          <w:spacing w:val="-4"/>
          <w:sz w:val="36"/>
          <w:szCs w:val="20"/>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第三章  投标资料表</w:t>
      </w:r>
      <w:r/>
    </w:p>
    <w:p>
      <w:pPr>
        <w:pStyle w:val="734"/>
      </w:pPr>
      <w:r/>
      <w:r/>
    </w:p>
    <w:p>
      <w:pPr>
        <w:pStyle w:val="704"/>
        <w:ind w:firstLine="560"/>
        <w:rPr>
          <w:rFonts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该资料表的条款项号是与《投标人须知》中条款项号对应的，或增加的条款，是对《投标人须知》的补充、修改和完善，如果有矛盾的话，应以本资料表为准。</w:t>
      </w:r>
      <w:r/>
    </w:p>
    <w:tbl>
      <w:tblPr>
        <w:tblStyle w:val="686"/>
        <w:tblW w:w="9851"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975"/>
      </w:tblGrid>
      <w:tr>
        <w:trPr>
          <w:tblHeader/>
        </w:trPr>
        <w:tc>
          <w:tcPr>
            <w:tcBorders>
              <w:top w:val="single" w:color="auto" w:sz="12"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b/>
                <w:color w:val="000000"/>
                <w:sz w:val="24"/>
              </w:rPr>
            </w:pPr>
            <w:r>
              <w:rPr>
                <w:rFonts w:hint="eastAsia" w:ascii="仿宋" w:hAnsi="仿宋" w:eastAsia="仿宋" w:cs="仿宋"/>
                <w:b/>
                <w:color w:val="000000"/>
                <w:sz w:val="24"/>
              </w:rPr>
              <w:t xml:space="preserve">条款项号</w:t>
            </w:r>
            <w:r/>
          </w:p>
        </w:tc>
        <w:tc>
          <w:tcPr>
            <w:tcBorders>
              <w:top w:val="single" w:color="auto" w:sz="12"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b/>
                <w:color w:val="000000"/>
                <w:sz w:val="24"/>
              </w:rPr>
            </w:pPr>
            <w:r>
              <w:rPr>
                <w:rFonts w:hint="eastAsia" w:ascii="仿宋" w:hAnsi="仿宋" w:eastAsia="仿宋" w:cs="仿宋"/>
                <w:b/>
                <w:color w:val="000000"/>
                <w:sz w:val="24"/>
              </w:rPr>
              <w:t xml:space="preserve">内容</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一、总则</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本项目采购人：兴化市民政局</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本次采购采用的政府采购方式：公开招标。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tabs>
                <w:tab w:val="left" w:pos="5677" w:leader="none"/>
              </w:tabs>
              <w:rPr>
                <w:rFonts w:ascii="仿宋" w:hAnsi="仿宋" w:eastAsia="仿宋" w:cs="仿宋"/>
                <w:sz w:val="24"/>
              </w:rPr>
            </w:pPr>
            <w:r>
              <w:rPr>
                <w:rFonts w:hint="eastAsia" w:ascii="仿宋" w:hAnsi="仿宋" w:eastAsia="仿宋" w:cs="仿宋"/>
                <w:sz w:val="24"/>
              </w:rPr>
              <w:t xml:space="preserve">采购人确定的采购项目属性：服务</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tabs>
                <w:tab w:val="left" w:pos="5677" w:leader="none"/>
              </w:tabs>
              <w:rPr>
                <w:rFonts w:ascii="仿宋" w:hAnsi="仿宋" w:eastAsia="仿宋" w:cs="仿宋"/>
                <w:sz w:val="24"/>
              </w:rPr>
            </w:pPr>
            <w:r>
              <w:rPr>
                <w:rFonts w:hint="eastAsia" w:ascii="仿宋" w:hAnsi="仿宋" w:eastAsia="仿宋" w:cs="仿宋"/>
                <w:sz w:val="24"/>
              </w:rPr>
              <w:t xml:space="preserve">本项目所属行业：</w:t>
            </w:r>
            <w:r>
              <w:rPr>
                <w:rFonts w:ascii="仿宋" w:hAnsi="仿宋" w:eastAsia="仿宋" w:cs="仿宋"/>
                <w:color w:val="000000"/>
                <w:sz w:val="24"/>
              </w:rPr>
              <w:t xml:space="preserve">其他未列明行业</w:t>
            </w:r>
            <w:r>
              <w:rPr>
                <w:rFonts w:hint="eastAsia" w:ascii="仿宋" w:hAnsi="仿宋" w:eastAsia="仿宋" w:cs="仿宋"/>
                <w:sz w:val="24"/>
              </w:rPr>
              <w:t xml:space="preserve">。</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本项目是否为专门面向中小微企业采购的项目：否</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color w:val="000000"/>
                <w:sz w:val="24"/>
              </w:rPr>
              <w:t xml:space="preserve">本项目采购代理机构：江苏久格工程项目管理有限公司</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招标代理服务费由中标人支付，标准不高于《招标代理服务收费标准》（见附件）。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本项目为政府采购服务电子招标投标。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潜在投标人访问“苏采云”系统的网络地址和方法：见本项目招标公告。</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二、招标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ff0000"/>
                <w:sz w:val="24"/>
              </w:rPr>
            </w:pPr>
            <w:r>
              <w:rPr>
                <w:rFonts w:hint="eastAsia" w:ascii="仿宋" w:hAnsi="仿宋" w:eastAsia="仿宋" w:cs="仿宋"/>
                <w:color w:val="000000"/>
                <w:sz w:val="24"/>
              </w:rPr>
              <w:t xml:space="preserve">本项目对样品的要求：不要求投标人提供样品。</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投标有效期:90天。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现场考察：不组织现场考察。</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开标前答疑会：不召开开标前答疑会。</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bCs/>
                <w:color w:val="000000"/>
                <w:sz w:val="24"/>
              </w:rPr>
            </w:pPr>
            <w:r>
              <w:rPr>
                <w:rFonts w:hint="eastAsia" w:ascii="仿宋" w:hAnsi="仿宋" w:eastAsia="仿宋" w:cs="仿宋"/>
                <w:color w:val="000000"/>
                <w:sz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color w:val="000000"/>
                <w:sz w:val="24"/>
              </w:rPr>
              <w:t xml:space="preserve">发布本项目的“</w:t>
            </w:r>
            <w:r>
              <w:rPr>
                <w:rFonts w:hint="eastAsia" w:ascii="仿宋" w:hAnsi="仿宋" w:eastAsia="仿宋" w:cs="仿宋"/>
                <w:color w:val="000000"/>
                <w:sz w:val="24"/>
              </w:rPr>
              <w:t xml:space="preserve">终止公告</w:t>
            </w:r>
            <w:r>
              <w:rPr>
                <w:rFonts w:hint="eastAsia" w:ascii="仿宋" w:hAnsi="仿宋" w:eastAsia="仿宋" w:cs="仿宋"/>
                <w:bCs/>
                <w:color w:val="000000"/>
                <w:sz w:val="24"/>
              </w:rPr>
              <w:t xml:space="preserve">”后采购代理机构已尽通知义务。敬请各潜在投标人关注本项目的“</w:t>
            </w:r>
            <w:r>
              <w:rPr>
                <w:rFonts w:hint="eastAsia" w:ascii="仿宋" w:hAnsi="仿宋" w:eastAsia="仿宋" w:cs="仿宋"/>
                <w:color w:val="000000"/>
                <w:sz w:val="24"/>
              </w:rPr>
              <w:t xml:space="preserve">终止公告</w:t>
            </w:r>
            <w:r>
              <w:rPr>
                <w:rFonts w:hint="eastAsia" w:ascii="仿宋" w:hAnsi="仿宋" w:eastAsia="仿宋" w:cs="仿宋"/>
                <w:bCs/>
                <w:color w:val="000000"/>
                <w:sz w:val="24"/>
              </w:rPr>
              <w:t xml:space="preserve">”，否则，将自行承担相应的风险。</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color w:val="000000"/>
                <w:sz w:val="24"/>
              </w:rPr>
            </w:pPr>
            <w:r>
              <w:rPr>
                <w:rFonts w:hint="eastAsia" w:ascii="仿宋" w:hAnsi="仿宋" w:eastAsia="仿宋" w:cs="仿宋"/>
                <w:color w:val="000000"/>
                <w:sz w:val="24"/>
              </w:rPr>
              <w:t xml:space="preserve">投标人信用信息查询渠道及截止时点、信用信息查询记录和证据留存的具体方式、信用信息的使用规则等：</w:t>
            </w:r>
            <w:r/>
          </w:p>
          <w:p>
            <w:pPr>
              <w:jc w:val="left"/>
              <w:rPr>
                <w:rFonts w:ascii="仿宋" w:hAnsi="仿宋" w:eastAsia="仿宋" w:cs="仿宋"/>
                <w:color w:val="000000"/>
                <w:sz w:val="24"/>
              </w:rPr>
            </w:pPr>
            <w:r>
              <w:rPr>
                <w:rFonts w:hint="eastAsia" w:ascii="仿宋" w:hAnsi="仿宋" w:eastAsia="仿宋" w:cs="仿宋"/>
                <w:bCs/>
                <w:color w:val="000000"/>
                <w:sz w:val="24"/>
              </w:rPr>
              <w:t xml:space="preserve">一、</w:t>
            </w:r>
            <w:r>
              <w:rPr>
                <w:rFonts w:hint="eastAsia" w:ascii="仿宋" w:hAnsi="仿宋" w:eastAsia="仿宋" w:cs="仿宋"/>
                <w:color w:val="000000"/>
                <w:sz w:val="24"/>
              </w:rPr>
              <w:t xml:space="preserve">由采购人查询信用信息。</w:t>
            </w:r>
            <w:r/>
          </w:p>
          <w:p>
            <w:pPr>
              <w:jc w:val="left"/>
              <w:rPr>
                <w:rFonts w:ascii="仿宋" w:hAnsi="仿宋" w:eastAsia="仿宋" w:cs="仿宋"/>
                <w:color w:val="000000"/>
                <w:sz w:val="24"/>
              </w:rPr>
            </w:pPr>
            <w:r>
              <w:rPr>
                <w:rFonts w:hint="eastAsia" w:ascii="仿宋" w:hAnsi="仿宋" w:eastAsia="仿宋" w:cs="仿宋"/>
                <w:color w:val="000000"/>
                <w:sz w:val="24"/>
              </w:rPr>
              <w:t xml:space="preserve">二、查询渠道包括：</w:t>
            </w:r>
            <w:r/>
          </w:p>
          <w:p>
            <w:pPr>
              <w:jc w:val="lef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sz w:val="24"/>
              </w:rPr>
              <w:t xml:space="preserve">“信用中国”网（</w:t>
            </w:r>
            <w:r>
              <w:fldChar w:fldCharType="begin"/>
            </w:r>
            <w:r>
              <w:instrText xml:space="preserve"> HYPERLINK "http://www.creditchina.gov.cn/" \o "http://www.creditchina.gov.cn/" </w:instrText>
            </w:r>
            <w: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jc w:val="left"/>
              <w:rPr>
                <w:rFonts w:ascii="仿宋" w:hAnsi="仿宋" w:eastAsia="仿宋" w:cs="仿宋"/>
                <w:sz w:val="24"/>
              </w:rPr>
            </w:pPr>
            <w:r>
              <w:rPr>
                <w:rFonts w:hint="eastAsia" w:ascii="仿宋" w:hAnsi="仿宋" w:eastAsia="仿宋" w:cs="仿宋"/>
                <w:bCs/>
                <w:color w:val="000000"/>
                <w:sz w:val="24"/>
              </w:rPr>
              <w:t xml:space="preserve">2.</w:t>
            </w:r>
            <w:r>
              <w:rPr>
                <w:rFonts w:hint="eastAsia" w:ascii="仿宋" w:hAnsi="仿宋" w:eastAsia="仿宋" w:cs="仿宋"/>
                <w:sz w:val="24"/>
              </w:rPr>
              <w:t xml:space="preserve">“中国政府采购”网（</w:t>
            </w:r>
            <w:r>
              <w:fldChar w:fldCharType="begin"/>
            </w:r>
            <w:r>
              <w:instrText xml:space="preserve"> HYPERLINK "http://www.ccgp.gov.cn/" \o "http://www.ccgp.gov.cn/" </w:instrText>
            </w:r>
            <w: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3.</w:t>
            </w:r>
            <w:r>
              <w:rPr>
                <w:rFonts w:hint="eastAsia" w:ascii="仿宋" w:hAnsi="仿宋" w:eastAsia="仿宋" w:cs="仿宋"/>
                <w:sz w:val="24"/>
              </w:rPr>
              <w:t xml:space="preserve">“信用中国（江苏）”网（</w:t>
            </w:r>
            <w:r>
              <w:fldChar w:fldCharType="begin"/>
            </w:r>
            <w:r>
              <w:instrText xml:space="preserve"> HYPERLINK "http://www.jscredit.gov.cn/" \o "http://www.jscredit.gov.cn/" </w:instrText>
            </w:r>
            <w:r>
              <w:fldChar w:fldCharType="separate"/>
            </w:r>
            <w:r>
              <w:rPr>
                <w:rFonts w:hint="eastAsia" w:ascii="仿宋" w:hAnsi="仿宋" w:eastAsia="仿宋" w:cs="仿宋"/>
                <w:sz w:val="24"/>
              </w:rPr>
              <w:t xml:space="preserve">www.jscredit.gov.cn</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bCs/>
                <w:color w:val="000000"/>
                <w:sz w:val="24"/>
              </w:rPr>
              <w:t xml:space="preserve">；</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三、截止时点（查询环节）：评标结束前。</w:t>
            </w:r>
            <w:r/>
          </w:p>
          <w:p>
            <w:pPr>
              <w:jc w:val="left"/>
              <w:rPr>
                <w:rFonts w:ascii="仿宋" w:hAnsi="仿宋" w:eastAsia="仿宋" w:cs="仿宋"/>
                <w:bCs/>
                <w:color w:val="000000"/>
                <w:sz w:val="24"/>
              </w:rPr>
            </w:pPr>
            <w:r>
              <w:rPr>
                <w:rFonts w:hint="eastAsia" w:ascii="仿宋" w:hAnsi="仿宋" w:eastAsia="仿宋" w:cs="仿宋"/>
                <w:bCs/>
                <w:color w:val="000000"/>
                <w:sz w:val="24"/>
              </w:rPr>
              <w:t xml:space="preserve">四、信用信息查询记录和证据留存的具体方式：</w:t>
            </w:r>
            <w:r/>
          </w:p>
          <w:p>
            <w:pPr>
              <w:jc w:val="left"/>
              <w:rPr>
                <w:rFonts w:ascii="仿宋" w:hAnsi="仿宋" w:eastAsia="仿宋" w:cs="仿宋"/>
                <w:color w:val="000000"/>
                <w:sz w:val="24"/>
              </w:rPr>
            </w:pPr>
            <w:r>
              <w:rPr>
                <w:rFonts w:hint="eastAsia" w:ascii="仿宋" w:hAnsi="仿宋" w:eastAsia="仿宋" w:cs="仿宋"/>
                <w:color w:val="000000"/>
                <w:sz w:val="24"/>
              </w:rPr>
              <w:t xml:space="preserve">网页截屏打印，与其他采购文件一并保存。</w:t>
            </w:r>
            <w:r/>
          </w:p>
          <w:p>
            <w:pPr>
              <w:numPr>
                <w:ilvl w:val="0"/>
                <w:numId w:val="1"/>
              </w:numPr>
              <w:jc w:val="left"/>
              <w:rPr>
                <w:rFonts w:ascii="仿宋" w:hAnsi="仿宋" w:eastAsia="仿宋" w:cs="仿宋"/>
                <w:sz w:val="24"/>
              </w:rPr>
            </w:pPr>
            <w:r>
              <w:rPr>
                <w:rFonts w:hint="eastAsia" w:ascii="仿宋" w:hAnsi="仿宋" w:eastAsia="仿宋" w:cs="仿宋"/>
                <w:bCs/>
                <w:color w:val="000000"/>
                <w:sz w:val="24"/>
              </w:rPr>
              <w:t xml:space="preserve">信用信息的使用规则：</w:t>
            </w:r>
            <w:r/>
          </w:p>
          <w:p>
            <w:pPr>
              <w:jc w:val="left"/>
              <w:rPr>
                <w:rFonts w:ascii="仿宋" w:hAnsi="仿宋" w:eastAsia="仿宋" w:cs="仿宋"/>
                <w:color w:val="000000"/>
                <w:sz w:val="24"/>
              </w:rPr>
            </w:pPr>
            <w:r>
              <w:rPr>
                <w:rFonts w:hint="eastAsia" w:ascii="仿宋" w:hAnsi="仿宋" w:eastAsia="仿宋" w:cs="仿宋"/>
                <w:bCs/>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bCs/>
                <w:color w:val="000000"/>
                <w:sz w:val="24"/>
              </w:rPr>
              <w:t xml:space="preserve">三、投标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投标人的资格要求：</w:t>
            </w:r>
            <w:r/>
          </w:p>
          <w:p>
            <w:pPr>
              <w:jc w:val="lef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符合</w:t>
            </w:r>
            <w:r>
              <w:rPr>
                <w:rFonts w:hint="eastAsia" w:ascii="仿宋" w:hAnsi="仿宋" w:eastAsia="仿宋" w:cs="仿宋"/>
                <w:sz w:val="24"/>
              </w:rPr>
              <w:t xml:space="preserve">《中华人民共和国政府采购法》第二十二条规定；</w:t>
            </w:r>
            <w:r/>
          </w:p>
          <w:p>
            <w:pPr>
              <w:jc w:val="left"/>
              <w:rPr>
                <w:rFonts w:ascii="仿宋" w:hAnsi="仿宋" w:eastAsia="仿宋" w:cs="仿宋"/>
                <w:bCs/>
                <w:sz w:val="24"/>
              </w:rPr>
            </w:pPr>
            <w:r>
              <w:rPr>
                <w:rFonts w:hint="eastAsia" w:ascii="仿宋" w:hAnsi="仿宋" w:eastAsia="仿宋" w:cs="仿宋"/>
                <w:sz w:val="24"/>
              </w:rPr>
              <w:t xml:space="preserve">2.落实政府采购政策需满足的资</w:t>
            </w:r>
            <w:r>
              <w:rPr>
                <w:rFonts w:hint="eastAsia" w:ascii="仿宋" w:hAnsi="仿宋" w:eastAsia="仿宋" w:cs="仿宋"/>
                <w:bCs/>
                <w:sz w:val="24"/>
              </w:rPr>
              <w:t xml:space="preserve">格要求：本项目非专门面向中小企业采购。</w:t>
            </w:r>
            <w:r/>
          </w:p>
          <w:p>
            <w:pPr>
              <w:jc w:val="left"/>
              <w:rPr>
                <w:rFonts w:ascii="仿宋" w:hAnsi="仿宋" w:eastAsia="仿宋" w:cs="仿宋"/>
                <w:b/>
                <w:sz w:val="24"/>
              </w:rPr>
            </w:pPr>
            <w:r>
              <w:rPr>
                <w:rFonts w:hint="eastAsia" w:ascii="仿宋" w:hAnsi="仿宋" w:eastAsia="仿宋" w:cs="仿宋"/>
                <w:b/>
                <w:sz w:val="24"/>
              </w:rPr>
              <w:t xml:space="preserve">3.本项目的特定资格要求：</w:t>
            </w:r>
            <w:r/>
          </w:p>
          <w:p>
            <w:pPr>
              <w:jc w:val="left"/>
              <w:rPr>
                <w:rFonts w:ascii="仿宋" w:hAnsi="仿宋" w:eastAsia="仿宋" w:cs="仿宋"/>
                <w:b/>
                <w:sz w:val="24"/>
              </w:rPr>
            </w:pPr>
            <w:r>
              <w:rPr>
                <w:rFonts w:hint="eastAsia" w:ascii="仿宋" w:hAnsi="仿宋" w:eastAsia="仿宋" w:cs="仿宋"/>
                <w:b/>
                <w:sz w:val="24"/>
              </w:rPr>
              <w:t xml:space="preserve">（1）经民政部门注册登记，可直接提供养老服务或运营的社会组织；</w:t>
            </w:r>
            <w:r/>
          </w:p>
          <w:p>
            <w:pPr>
              <w:jc w:val="left"/>
              <w:rPr>
                <w:rFonts w:ascii="仿宋" w:hAnsi="仿宋" w:eastAsia="仿宋" w:cs="仿宋"/>
                <w:b/>
                <w:sz w:val="24"/>
              </w:rPr>
            </w:pPr>
            <w:r>
              <w:rPr>
                <w:rFonts w:hint="eastAsia" w:ascii="仿宋" w:hAnsi="仿宋" w:eastAsia="仿宋" w:cs="仿宋"/>
                <w:b/>
                <w:sz w:val="24"/>
              </w:rPr>
              <w:t xml:space="preserve">（2）经市场监督管理局或数据局注册登记，可直接提供养老服务或运营的企业和机构。</w:t>
            </w:r>
            <w:r/>
          </w:p>
          <w:p>
            <w:pPr>
              <w:jc w:val="left"/>
              <w:rPr>
                <w:rFonts w:ascii="仿宋" w:hAnsi="仿宋" w:eastAsia="仿宋" w:cs="仿宋"/>
                <w:b/>
                <w:sz w:val="24"/>
              </w:rPr>
            </w:pPr>
            <w:r>
              <w:rPr>
                <w:rFonts w:hint="eastAsia" w:ascii="仿宋" w:hAnsi="仿宋" w:eastAsia="仿宋" w:cs="仿宋"/>
                <w:b/>
                <w:sz w:val="24"/>
              </w:rPr>
              <w:t xml:space="preserve">上述两项条件，满足其中之一即可。</w:t>
            </w:r>
            <w:r/>
          </w:p>
          <w:p>
            <w:pPr>
              <w:jc w:val="left"/>
              <w:rPr>
                <w:rFonts w:ascii="仿宋" w:hAnsi="仿宋" w:eastAsia="仿宋" w:cs="仿宋"/>
                <w:b/>
                <w:sz w:val="24"/>
              </w:rPr>
            </w:pPr>
            <w:r>
              <w:rPr>
                <w:rFonts w:hint="eastAsia" w:ascii="仿宋" w:hAnsi="仿宋" w:eastAsia="仿宋" w:cs="仿宋"/>
                <w:b/>
                <w:sz w:val="24"/>
              </w:rPr>
              <w:t xml:space="preserve">（3）本项目接受联合体投标，具体要求为:</w:t>
            </w:r>
            <w:r/>
          </w:p>
          <w:p>
            <w:pPr>
              <w:jc w:val="left"/>
              <w:rPr>
                <w:rFonts w:ascii="仿宋" w:hAnsi="仿宋" w:eastAsia="仿宋" w:cs="仿宋"/>
                <w:b/>
                <w:sz w:val="24"/>
              </w:rPr>
            </w:pPr>
            <w:r>
              <w:rPr>
                <w:rFonts w:hint="eastAsia" w:ascii="仿宋" w:hAnsi="仿宋" w:eastAsia="仿宋" w:cs="仿宋"/>
                <w:b/>
                <w:sz w:val="24"/>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jc w:val="left"/>
              <w:rPr>
                <w:rFonts w:ascii="仿宋" w:hAnsi="仿宋" w:eastAsia="仿宋" w:cs="仿宋"/>
                <w:b/>
                <w:sz w:val="24"/>
              </w:rPr>
            </w:pPr>
            <w:r>
              <w:rPr>
                <w:rFonts w:hint="eastAsia" w:ascii="仿宋" w:hAnsi="仿宋" w:eastAsia="仿宋" w:cs="仿宋"/>
                <w:b/>
                <w:sz w:val="24"/>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jc w:val="left"/>
              <w:rPr>
                <w:rFonts w:ascii="仿宋" w:hAnsi="仿宋" w:eastAsia="仿宋" w:cs="仿宋"/>
                <w:b/>
                <w:sz w:val="24"/>
              </w:rPr>
            </w:pPr>
            <w:r>
              <w:rPr>
                <w:rFonts w:hint="eastAsia" w:ascii="仿宋" w:hAnsi="仿宋" w:eastAsia="仿宋" w:cs="仿宋"/>
                <w:b/>
                <w:sz w:val="24"/>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jc w:val="left"/>
              <w:rPr>
                <w:rFonts w:ascii="仿宋" w:hAnsi="仿宋" w:eastAsia="仿宋" w:cs="仿宋"/>
                <w:b/>
                <w:sz w:val="24"/>
              </w:rPr>
            </w:pPr>
            <w:r>
              <w:rPr>
                <w:rFonts w:hint="eastAsia" w:ascii="仿宋" w:hAnsi="仿宋" w:eastAsia="仿宋" w:cs="仿宋"/>
                <w:b/>
                <w:sz w:val="24"/>
              </w:rPr>
              <w:t xml:space="preserve">④参加联合的各成员单位对本项目不得再以自己名义单独投标，也不得组成新的联合体参加本项目的投标。如果违反，与此有关的联合体的投标将被拒绝。</w:t>
            </w:r>
            <w:r/>
          </w:p>
          <w:p>
            <w:pPr>
              <w:jc w:val="left"/>
              <w:rPr>
                <w:rFonts w:ascii="仿宋" w:hAnsi="仿宋" w:eastAsia="仿宋" w:cs="仿宋"/>
                <w:b/>
                <w:sz w:val="24"/>
              </w:rPr>
            </w:pPr>
            <w:r>
              <w:rPr>
                <w:rFonts w:hint="eastAsia" w:ascii="仿宋" w:hAnsi="仿宋" w:eastAsia="仿宋" w:cs="仿宋"/>
                <w:b/>
                <w:sz w:val="24"/>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jc w:val="left"/>
              <w:rPr>
                <w:rFonts w:ascii="仿宋" w:hAnsi="仿宋" w:eastAsia="仿宋" w:cs="仿宋"/>
                <w:sz w:val="24"/>
              </w:rPr>
            </w:pPr>
            <w:r>
              <w:rPr>
                <w:rFonts w:hint="eastAsia" w:ascii="仿宋" w:hAnsi="仿宋" w:eastAsia="仿宋" w:cs="仿宋"/>
                <w:b/>
                <w:sz w:val="24"/>
              </w:rPr>
              <w:t xml:space="preserve">（5）未被“信用中国”网站（www.creditchina.gov.cn）列入失信被执行人、重大税收违法案件当事人名单、政府采购严重失信行为记录名单。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color w:val="000000"/>
                <w:sz w:val="24"/>
              </w:rPr>
            </w:pPr>
            <w:r>
              <w:rPr>
                <w:rFonts w:hint="eastAsia" w:ascii="仿宋" w:hAnsi="仿宋" w:eastAsia="仿宋" w:cs="仿宋"/>
                <w:bCs/>
                <w:color w:val="000000"/>
                <w:sz w:val="24"/>
              </w:rPr>
              <w:t xml:space="preserve">投标人须用政府采购客户端工具导入“苏采云”系统下载的招标文件后，离线编制投标文件。招标文件、投标人操作手册及政府采购客户端工具可通过“苏采云”系统（网址：</w:t>
            </w:r>
            <w:r>
              <w:fldChar w:fldCharType="begin"/>
            </w:r>
            <w:r>
              <w:instrText xml:space="preserve"> HYPERLINK "http://jszfcg.jsczt.cn/" \o "http://jszfcg.jsczt.cn/" </w:instrText>
            </w:r>
            <w:r>
              <w:fldChar w:fldCharType="separate"/>
            </w:r>
            <w:r>
              <w:rPr>
                <w:rFonts w:hint="eastAsia" w:ascii="仿宋" w:hAnsi="仿宋" w:eastAsia="仿宋" w:cs="仿宋"/>
                <w:bCs/>
                <w:color w:val="000000"/>
                <w:sz w:val="24"/>
              </w:rPr>
              <w:t xml:space="preserve">http://jszfcg.jsc</w:t>
            </w:r>
            <w:bookmarkStart w:id="0" w:name="_Hlt91509264"/>
            <w:r/>
            <w:bookmarkStart w:id="1" w:name="_Hlt91509263"/>
            <w:r>
              <w:rPr>
                <w:rFonts w:hint="eastAsia" w:ascii="仿宋" w:hAnsi="仿宋" w:eastAsia="仿宋" w:cs="仿宋"/>
                <w:bCs/>
                <w:color w:val="000000"/>
                <w:sz w:val="24"/>
              </w:rPr>
              <w:t xml:space="preserve">z</w:t>
            </w:r>
            <w:bookmarkEnd w:id="0"/>
            <w:r/>
            <w:bookmarkEnd w:id="1"/>
            <w:r>
              <w:rPr>
                <w:rFonts w:hint="eastAsia" w:ascii="仿宋" w:hAnsi="仿宋" w:eastAsia="仿宋" w:cs="仿宋"/>
                <w:bCs/>
                <w:color w:val="000000"/>
                <w:sz w:val="24"/>
              </w:rPr>
              <w:t xml:space="preserve">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）--已报名项目--报名详情页面内相应链接进行下载；投标人操作手册也可通过泰州政府采购网--服务指南--下载专区，点击进入《</w:t>
            </w:r>
            <w:r>
              <w:fldChar w:fldCharType="begin"/>
            </w:r>
            <w:r>
              <w:instrText xml:space="preserve"> HYPERLINK "http://czj.taizhou.gov.cn/art/2022/12/9/art_61762_3436049.html" \o "苏采云系统操作手册（供应商）" </w:instrText>
            </w:r>
            <w:r>
              <w:fldChar w:fldCharType="separate"/>
            </w:r>
            <w:r>
              <w:rPr>
                <w:rFonts w:hint="eastAsia" w:ascii="仿宋" w:hAnsi="仿宋" w:eastAsia="仿宋" w:cs="仿宋"/>
                <w:bCs/>
                <w:color w:val="000000"/>
                <w:sz w:val="24"/>
              </w:rPr>
              <w:t xml:space="preserve">苏采云系统操作手册（投标人）</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》，进行下载。</w:t>
            </w:r>
            <w:r/>
          </w:p>
          <w:p>
            <w:pPr>
              <w:pStyle w:val="694"/>
              <w:jc w:val="left"/>
              <w:rPr>
                <w:rFonts w:ascii="仿宋" w:hAnsi="仿宋" w:eastAsia="仿宋" w:cs="仿宋"/>
                <w:sz w:val="24"/>
              </w:rPr>
            </w:pPr>
            <w:r>
              <w:rPr>
                <w:rFonts w:hint="eastAsia" w:ascii="仿宋" w:hAnsi="仿宋" w:eastAsia="仿宋" w:cs="仿宋"/>
                <w:b/>
                <w:color w:val="000000"/>
                <w:sz w:val="24"/>
              </w:rPr>
              <w:t xml:space="preserve">特别说明：政府采购客户端工具需要导出加密的投标文件（后缀名为zip）。投标文件不得超过350M！</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19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线上投标文件编制要求：</w:t>
            </w:r>
            <w:r/>
          </w:p>
          <w:p>
            <w:pPr>
              <w:jc w:val="left"/>
              <w:rPr>
                <w:rFonts w:ascii="仿宋" w:hAnsi="仿宋" w:eastAsia="仿宋" w:cs="仿宋"/>
                <w:bCs/>
                <w:sz w:val="24"/>
              </w:rPr>
            </w:pPr>
            <w:r>
              <w:rPr>
                <w:rFonts w:hint="eastAsia" w:ascii="仿宋" w:hAnsi="仿宋" w:eastAsia="仿宋" w:cs="仿宋"/>
                <w:bCs/>
                <w:sz w:val="24"/>
              </w:rPr>
              <w:t xml:space="preserve">请按照以下要求（包括但不限于以下要求）制作：</w:t>
            </w:r>
            <w:r/>
          </w:p>
          <w:p>
            <w:pPr>
              <w:jc w:val="left"/>
              <w:rPr>
                <w:rFonts w:ascii="仿宋" w:hAnsi="仿宋" w:eastAsia="仿宋"/>
                <w:b/>
                <w:bCs/>
                <w:color w:val="000000"/>
                <w:sz w:val="24"/>
              </w:rPr>
            </w:pPr>
            <w:r>
              <w:rPr>
                <w:rFonts w:hint="eastAsia" w:ascii="仿宋" w:hAnsi="仿宋" w:eastAsia="仿宋"/>
                <w:b/>
                <w:bCs/>
                <w:color w:val="000000"/>
                <w:sz w:val="24"/>
              </w:rPr>
              <w:t xml:space="preserve">一、基本目录</w:t>
            </w:r>
            <w:r/>
          </w:p>
          <w:p>
            <w:pPr>
              <w:jc w:val="left"/>
              <w:rPr>
                <w:rFonts w:ascii="仿宋" w:hAnsi="仿宋" w:eastAsia="仿宋" w:cs="仿宋"/>
                <w:bCs/>
                <w:sz w:val="24"/>
              </w:rPr>
            </w:pPr>
            <w:r>
              <w:rPr>
                <w:rFonts w:hint="eastAsia" w:ascii="仿宋" w:hAnsi="仿宋" w:eastAsia="仿宋" w:cs="仿宋"/>
                <w:bCs/>
                <w:sz w:val="24"/>
              </w:rPr>
              <w:t xml:space="preserve">1.《开标一览表》（加盖电子签章，政府采购客户端工具输入报价自动生成，需分采购包编制）；</w:t>
            </w:r>
            <w:r/>
          </w:p>
          <w:p>
            <w:pPr>
              <w:jc w:val="left"/>
              <w:rPr>
                <w:rFonts w:ascii="仿宋" w:hAnsi="仿宋" w:eastAsia="仿宋" w:cs="仿宋"/>
                <w:bCs/>
                <w:sz w:val="24"/>
              </w:rPr>
            </w:pPr>
            <w:r>
              <w:rPr>
                <w:rFonts w:hint="eastAsia" w:ascii="仿宋" w:hAnsi="仿宋" w:eastAsia="仿宋" w:cs="仿宋"/>
                <w:bCs/>
                <w:sz w:val="24"/>
              </w:rPr>
              <w:t xml:space="preserve">2.《授权委托书》（提供原件的扫描件，格式见招标文件第七章《投标文件相关格式》）；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3.所投产品的环境标志产品认证证书原件的扫描件（如有）。</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left"/>
              <w:rPr>
                <w:rFonts w:ascii="仿宋" w:hAnsi="仿宋" w:eastAsia="仿宋" w:cs="仿宋"/>
                <w:bCs/>
                <w:sz w:val="24"/>
              </w:rPr>
            </w:pPr>
            <w:r>
              <w:rPr>
                <w:rFonts w:hint="eastAsia" w:ascii="仿宋" w:hAnsi="仿宋" w:eastAsia="仿宋" w:cs="仿宋"/>
                <w:bCs/>
                <w:sz w:val="24"/>
              </w:rPr>
              <w:t xml:space="preserve">（2）环境标志产品认证证书是否符合要求，采购人评标时查询中国政府采购网（www.ccgp.gov.cn）相关内容后确定。</w:t>
            </w:r>
            <w:r/>
          </w:p>
          <w:p>
            <w:pPr>
              <w:jc w:val="left"/>
              <w:rPr>
                <w:rFonts w:ascii="仿宋" w:hAnsi="仿宋" w:eastAsia="仿宋" w:cs="仿宋"/>
                <w:bCs/>
                <w:sz w:val="24"/>
              </w:rPr>
            </w:pPr>
            <w:r>
              <w:rPr>
                <w:rFonts w:hint="eastAsia" w:ascii="仿宋" w:hAnsi="仿宋" w:eastAsia="仿宋" w:cs="仿宋"/>
                <w:bCs/>
                <w:sz w:val="24"/>
              </w:rPr>
              <w:t xml:space="preserve">4.所投产品的节能产品认证证书原件的扫描件（如有）。</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left"/>
              <w:rPr>
                <w:rFonts w:ascii="仿宋" w:hAnsi="仿宋" w:eastAsia="仿宋"/>
                <w:color w:val="000000"/>
                <w:sz w:val="24"/>
              </w:rPr>
            </w:pPr>
            <w:r>
              <w:rPr>
                <w:rFonts w:hint="eastAsia" w:ascii="仿宋" w:hAnsi="仿宋" w:eastAsia="仿宋" w:cs="仿宋"/>
                <w:bCs/>
                <w:sz w:val="24"/>
              </w:rPr>
              <w:t xml:space="preserve">（2）节能产品认证证书是否符合要求，采购人评标时查询中国政府采购网（www.ccgp.gov.cn）相关内容后确定。</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二、资格条件（1-</w:t>
            </w:r>
            <w:r>
              <w:rPr>
                <w:rFonts w:hint="eastAsia" w:ascii="仿宋" w:hAnsi="仿宋" w:eastAsia="仿宋"/>
                <w:b/>
                <w:bCs/>
                <w:color w:val="000000"/>
              </w:rPr>
              <w:t xml:space="preserve">7</w:t>
            </w:r>
            <w:r>
              <w:rPr>
                <w:rFonts w:ascii="仿宋" w:hAnsi="仿宋" w:eastAsia="仿宋"/>
                <w:b/>
                <w:bCs/>
                <w:color w:val="000000"/>
              </w:rPr>
              <w:t xml:space="preserve">必须提供，否则投标无效）</w:t>
            </w:r>
            <w:r/>
          </w:p>
          <w:p>
            <w:pPr>
              <w:jc w:val="left"/>
              <w:rPr>
                <w:rFonts w:ascii="仿宋" w:hAnsi="仿宋" w:eastAsia="仿宋" w:cs="仿宋"/>
                <w:bCs/>
                <w:sz w:val="24"/>
              </w:rPr>
            </w:pPr>
            <w:r>
              <w:rPr>
                <w:rFonts w:hint="eastAsia" w:ascii="仿宋" w:hAnsi="仿宋" w:eastAsia="仿宋" w:cs="仿宋"/>
                <w:bCs/>
                <w:sz w:val="24"/>
              </w:rPr>
              <w:t xml:space="preserve">1.投标人合法有效的法人或者其他组织的营业执照等证明文件，自然人的身份证明。以上证明文件提供原件的扫描件。</w:t>
            </w:r>
            <w:r/>
          </w:p>
          <w:p>
            <w:pPr>
              <w:jc w:val="left"/>
              <w:rPr>
                <w:rFonts w:ascii="仿宋" w:hAnsi="仿宋" w:eastAsia="仿宋" w:cs="仿宋"/>
                <w:bCs/>
                <w:sz w:val="24"/>
              </w:rPr>
            </w:pPr>
            <w:r>
              <w:rPr>
                <w:rFonts w:hint="eastAsia" w:ascii="仿宋" w:hAnsi="仿宋" w:eastAsia="仿宋" w:cs="仿宋"/>
                <w:bCs/>
                <w:sz w:val="24"/>
              </w:rPr>
              <w:t xml:space="preserve">2.财务状况报告，至少提供：投标人提交首次响应文件时间前6个月内（不含开标当月）任何日期的资产负债表和利润表月报表扫描件；或投标人上年度财务报告；或投标人的本项目开标时间前6个月内（不含开标当月）银行出具的资信证明扫描件；或财政部门认可的政府采购专业担保机构出具的投标担保函扫描件。 </w:t>
            </w:r>
            <w:r/>
          </w:p>
          <w:p>
            <w:pPr>
              <w:jc w:val="left"/>
              <w:rPr>
                <w:rFonts w:ascii="仿宋" w:hAnsi="仿宋" w:eastAsia="仿宋" w:cs="仿宋"/>
                <w:bCs/>
                <w:sz w:val="24"/>
              </w:rPr>
            </w:pPr>
            <w:r>
              <w:rPr>
                <w:rFonts w:hint="eastAsia" w:ascii="仿宋" w:hAnsi="仿宋" w:eastAsia="仿宋" w:cs="仿宋"/>
                <w:bCs/>
                <w:sz w:val="24"/>
              </w:rPr>
              <w:t xml:space="preserve">3.投标人提交首次响应文件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jc w:val="left"/>
              <w:rPr>
                <w:rFonts w:ascii="仿宋" w:hAnsi="仿宋" w:eastAsia="仿宋" w:cs="仿宋"/>
                <w:bCs/>
                <w:sz w:val="24"/>
              </w:rPr>
            </w:pPr>
            <w:r>
              <w:rPr>
                <w:rFonts w:hint="eastAsia" w:ascii="仿宋" w:hAnsi="仿宋" w:eastAsia="仿宋" w:cs="仿宋"/>
                <w:bCs/>
                <w:sz w:val="24"/>
              </w:rPr>
              <w:t xml:space="preserve">4.具备履行合同所必需的设备和专业技术能力的证明材料</w:t>
            </w:r>
            <w:r/>
          </w:p>
          <w:p>
            <w:pPr>
              <w:jc w:val="left"/>
              <w:rPr>
                <w:rFonts w:ascii="仿宋" w:hAnsi="仿宋" w:eastAsia="仿宋" w:cs="仿宋"/>
                <w:bCs/>
                <w:sz w:val="24"/>
              </w:rPr>
            </w:pPr>
            <w:r>
              <w:rPr>
                <w:rFonts w:hint="eastAsia" w:ascii="仿宋" w:hAnsi="仿宋" w:eastAsia="仿宋" w:cs="仿宋"/>
                <w:bCs/>
                <w:sz w:val="24"/>
              </w:rPr>
              <w:t xml:space="preserve">5.投标人参加政府采购活动前3年内在经营活动中没有重大违法记录的书面声明（加盖电子签章，格式见招标文件第七章《投标文件相关格式》）。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6.投标人信用信息（要求见本章条款项号“17”中的内容）。</w:t>
            </w:r>
            <w:r/>
          </w:p>
          <w:p>
            <w:pPr>
              <w:jc w:val="left"/>
              <w:rPr>
                <w:rFonts w:ascii="仿宋" w:hAnsi="仿宋" w:eastAsia="仿宋" w:cs="仿宋"/>
                <w:b/>
                <w:sz w:val="24"/>
              </w:rPr>
            </w:pPr>
            <w:r>
              <w:rPr>
                <w:rFonts w:hint="eastAsia" w:ascii="仿宋" w:hAnsi="仿宋" w:eastAsia="仿宋" w:cs="仿宋"/>
                <w:b/>
                <w:sz w:val="24"/>
              </w:rPr>
              <w:t xml:space="preserve">7.本项目的特定资格要求：</w:t>
            </w:r>
            <w:r/>
          </w:p>
          <w:p>
            <w:pPr>
              <w:jc w:val="left"/>
              <w:rPr>
                <w:rFonts w:ascii="仿宋" w:hAnsi="仿宋" w:eastAsia="仿宋" w:cs="仿宋"/>
                <w:b/>
                <w:sz w:val="24"/>
              </w:rPr>
            </w:pPr>
            <w:r>
              <w:rPr>
                <w:rFonts w:hint="eastAsia" w:ascii="仿宋" w:hAnsi="仿宋" w:eastAsia="仿宋" w:cs="仿宋"/>
                <w:b/>
                <w:sz w:val="24"/>
              </w:rPr>
              <w:t xml:space="preserve">（1）经民政部门注册登记，可直接提供养老服务或运营的社会组织；</w:t>
            </w:r>
            <w:r/>
          </w:p>
          <w:p>
            <w:pPr>
              <w:jc w:val="left"/>
              <w:rPr>
                <w:rFonts w:ascii="仿宋" w:hAnsi="仿宋" w:eastAsia="仿宋" w:cs="仿宋"/>
                <w:b/>
                <w:sz w:val="24"/>
              </w:rPr>
            </w:pPr>
            <w:r>
              <w:rPr>
                <w:rFonts w:hint="eastAsia" w:ascii="仿宋" w:hAnsi="仿宋" w:eastAsia="仿宋" w:cs="仿宋"/>
                <w:b/>
                <w:sz w:val="24"/>
              </w:rPr>
              <w:t xml:space="preserve">（2）经市场监督管理局或数据局注册登记，可直接提供养老服务或运营的企业和机构。</w:t>
            </w:r>
            <w:r/>
          </w:p>
          <w:p>
            <w:pPr>
              <w:jc w:val="left"/>
              <w:rPr>
                <w:rFonts w:ascii="仿宋" w:hAnsi="仿宋" w:eastAsia="仿宋" w:cs="仿宋"/>
                <w:b/>
                <w:sz w:val="24"/>
              </w:rPr>
            </w:pPr>
            <w:r>
              <w:rPr>
                <w:rFonts w:hint="eastAsia" w:ascii="仿宋" w:hAnsi="仿宋" w:eastAsia="仿宋" w:cs="仿宋"/>
                <w:b/>
                <w:sz w:val="24"/>
              </w:rPr>
              <w:t xml:space="preserve">上述两项条件，满足其中之一即可。</w:t>
            </w:r>
            <w:r/>
          </w:p>
          <w:p>
            <w:pPr>
              <w:jc w:val="left"/>
              <w:rPr>
                <w:rFonts w:ascii="仿宋" w:hAnsi="仿宋" w:eastAsia="仿宋" w:cs="仿宋"/>
                <w:b/>
                <w:sz w:val="24"/>
              </w:rPr>
            </w:pPr>
            <w:r>
              <w:rPr>
                <w:rFonts w:hint="eastAsia" w:ascii="仿宋" w:hAnsi="仿宋" w:eastAsia="仿宋" w:cs="仿宋"/>
                <w:b/>
                <w:sz w:val="24"/>
              </w:rPr>
              <w:t xml:space="preserve">（3）本项目接受联合体投标，具体要求为:</w:t>
            </w:r>
            <w:r/>
          </w:p>
          <w:p>
            <w:pPr>
              <w:jc w:val="left"/>
              <w:rPr>
                <w:rFonts w:ascii="仿宋" w:hAnsi="仿宋" w:eastAsia="仿宋" w:cs="仿宋"/>
                <w:b/>
                <w:sz w:val="24"/>
              </w:rPr>
            </w:pPr>
            <w:r>
              <w:rPr>
                <w:rFonts w:hint="eastAsia" w:ascii="仿宋" w:hAnsi="仿宋" w:eastAsia="仿宋" w:cs="仿宋"/>
                <w:b/>
                <w:sz w:val="24"/>
              </w:rPr>
              <w:t xml:space="preserve">①投标供应商可以组成一个联合体（联合体所有成员数量不超过两家），以一个投标供应商的身份投标。以联合体形式参加投标的，联合体各方均应当符合《中华人民共和国政府采购法》、《中华人民共和国政府采购法实施条例》规定的条件。联合体各方均应符合采购人规定的资格要求。</w:t>
            </w:r>
            <w:r/>
          </w:p>
          <w:p>
            <w:pPr>
              <w:jc w:val="left"/>
              <w:rPr>
                <w:rFonts w:ascii="仿宋" w:hAnsi="仿宋" w:eastAsia="仿宋" w:cs="仿宋"/>
                <w:b/>
                <w:sz w:val="24"/>
              </w:rPr>
            </w:pPr>
            <w:r>
              <w:rPr>
                <w:rFonts w:hint="eastAsia" w:ascii="仿宋" w:hAnsi="仿宋" w:eastAsia="仿宋" w:cs="仿宋"/>
                <w:b/>
                <w:sz w:val="24"/>
              </w:rPr>
              <w:t xml:space="preserve">②联合体各方应按招标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招标文件另有规定或联合体投标文件另有约定并经采购人同意的除外。</w:t>
            </w:r>
            <w:r/>
          </w:p>
          <w:p>
            <w:pPr>
              <w:jc w:val="left"/>
              <w:rPr>
                <w:rFonts w:ascii="仿宋" w:hAnsi="仿宋" w:eastAsia="仿宋" w:cs="仿宋"/>
                <w:b/>
                <w:sz w:val="24"/>
              </w:rPr>
            </w:pPr>
            <w:r>
              <w:rPr>
                <w:rFonts w:hint="eastAsia" w:ascii="仿宋" w:hAnsi="仿宋" w:eastAsia="仿宋" w:cs="仿宋"/>
                <w:b/>
                <w:sz w:val="24"/>
              </w:rPr>
              <w:t xml:space="preserve">③如联合体成交后，联合体牵头人代表联合体各成员负责与采购人进行合同的对接、洽谈和项目的推动工作，并在后期的项目开展运行中承担全部责任，应按照招标文件要求无条件响应采购人的需求，对项目运行管理中出现的问题和难点应及时主动予以解决，不得以任何理由推诿、推脱，如有违反，采购人有权予以处罚并解除合同。联合体各方应当共同与采购人签订采购合同，就采购合同约定的事项对采购人承担连带责任。</w:t>
            </w:r>
            <w:r/>
          </w:p>
          <w:p>
            <w:pPr>
              <w:jc w:val="left"/>
              <w:rPr>
                <w:rFonts w:ascii="仿宋" w:hAnsi="仿宋" w:eastAsia="仿宋" w:cs="仿宋"/>
                <w:b/>
                <w:sz w:val="24"/>
              </w:rPr>
            </w:pPr>
            <w:r>
              <w:rPr>
                <w:rFonts w:hint="eastAsia" w:ascii="仿宋" w:hAnsi="仿宋" w:eastAsia="仿宋" w:cs="仿宋"/>
                <w:b/>
                <w:sz w:val="24"/>
              </w:rPr>
              <w:t xml:space="preserve">④参加联合的各成员单位对本项目不得再以自己名义单独投标，也不得组成新的联合体参加本项目的投标。如果违反，与此有关的联合体的投标将被拒绝。</w:t>
            </w:r>
            <w:r/>
          </w:p>
          <w:p>
            <w:pPr>
              <w:jc w:val="left"/>
              <w:rPr>
                <w:rFonts w:ascii="仿宋" w:hAnsi="仿宋" w:eastAsia="仿宋" w:cs="仿宋"/>
                <w:b/>
                <w:sz w:val="24"/>
              </w:rPr>
            </w:pPr>
            <w:r>
              <w:rPr>
                <w:rFonts w:hint="eastAsia" w:ascii="仿宋" w:hAnsi="仿宋" w:eastAsia="仿宋" w:cs="仿宋"/>
                <w:b/>
                <w:sz w:val="24"/>
              </w:rPr>
              <w:t xml:space="preserve">（4）单位负责人为同一人或者存在直接控股、管理关系的不同投标人，不得同时参加本项目的采购活动。为采购项目提供整体设计、规范编制或者项目管理、监理、检测等服务的投标人，不得再参加本项目的采购活动；</w:t>
            </w:r>
            <w:r/>
          </w:p>
          <w:p>
            <w:pPr>
              <w:jc w:val="left"/>
              <w:rPr>
                <w:rFonts w:ascii="仿宋" w:hAnsi="仿宋" w:eastAsia="仿宋" w:cs="仿宋"/>
                <w:b/>
                <w:sz w:val="24"/>
              </w:rPr>
            </w:pPr>
            <w:r>
              <w:rPr>
                <w:rFonts w:hint="eastAsia" w:ascii="仿宋" w:hAnsi="仿宋" w:eastAsia="仿宋" w:cs="仿宋"/>
                <w:b/>
                <w:sz w:val="24"/>
              </w:rPr>
              <w:t xml:space="preserve">（5）未被“信用中国”网站（www.creditchina.gov.cn）列入失信被执行人、重大税收违法案件当事人名单、政府采购严重失信行为记录名单。</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三、符合条件（必须提供，否则投标无效）</w:t>
            </w:r>
            <w:r/>
          </w:p>
          <w:p>
            <w:pPr>
              <w:jc w:val="left"/>
              <w:rPr>
                <w:rFonts w:ascii="仿宋" w:hAnsi="仿宋" w:eastAsia="仿宋" w:cs="仿宋"/>
                <w:bCs/>
                <w:sz w:val="24"/>
              </w:rPr>
            </w:pPr>
            <w:r>
              <w:rPr>
                <w:rFonts w:hint="eastAsia" w:ascii="仿宋" w:hAnsi="仿宋" w:eastAsia="仿宋" w:cs="仿宋"/>
                <w:bCs/>
                <w:sz w:val="24"/>
              </w:rPr>
              <w:t xml:space="preserve">（一）报价</w:t>
            </w:r>
            <w:r/>
          </w:p>
          <w:p>
            <w:pPr>
              <w:jc w:val="left"/>
              <w:rPr>
                <w:rFonts w:ascii="仿宋" w:hAnsi="仿宋" w:eastAsia="仿宋" w:cs="仿宋"/>
                <w:bCs/>
                <w:sz w:val="24"/>
              </w:rPr>
            </w:pPr>
            <w:r>
              <w:rPr>
                <w:rFonts w:hint="eastAsia" w:ascii="仿宋" w:hAnsi="仿宋" w:eastAsia="仿宋" w:cs="仿宋"/>
                <w:bCs/>
                <w:sz w:val="24"/>
              </w:rPr>
              <w:t xml:space="preserve">1.《分项价格表》（加盖电子签章，格式见招标文件第七章《投标文件相关格式》。）；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（二）商务资信</w:t>
            </w:r>
            <w:r/>
          </w:p>
          <w:p>
            <w:pPr>
              <w:jc w:val="left"/>
              <w:rPr>
                <w:rFonts w:ascii="仿宋" w:hAnsi="仿宋" w:eastAsia="仿宋" w:cs="仿宋"/>
                <w:bCs/>
                <w:sz w:val="24"/>
              </w:rPr>
            </w:pPr>
            <w:r>
              <w:rPr>
                <w:rFonts w:hint="eastAsia" w:ascii="仿宋" w:hAnsi="仿宋" w:eastAsia="仿宋" w:cs="仿宋"/>
                <w:bCs/>
                <w:sz w:val="24"/>
              </w:rPr>
              <w:t xml:space="preserve">《投标函》（加盖电子签章，格式见招标文件第七章《投标文件相关格式》）；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（三）技术响应</w:t>
            </w:r>
            <w:r/>
          </w:p>
          <w:p>
            <w:pPr>
              <w:jc w:val="left"/>
              <w:rPr>
                <w:rFonts w:ascii="仿宋" w:hAnsi="仿宋" w:eastAsia="仿宋" w:cs="仿宋"/>
                <w:bCs/>
                <w:sz w:val="24"/>
              </w:rPr>
            </w:pPr>
            <w:r>
              <w:rPr>
                <w:rFonts w:hint="eastAsia" w:ascii="仿宋" w:hAnsi="仿宋" w:eastAsia="仿宋" w:cs="仿宋"/>
                <w:bCs/>
                <w:sz w:val="24"/>
              </w:rPr>
              <w:t xml:space="preserve">《偏离表》（加盖电子签章，格式见招标文件第七章《投标文件相关格式》）。</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四、综合评审评分项</w:t>
            </w:r>
            <w:r/>
          </w:p>
          <w:p>
            <w:pPr>
              <w:jc w:val="left"/>
              <w:rPr>
                <w:rFonts w:ascii="仿宋" w:hAnsi="仿宋" w:eastAsia="仿宋" w:cs="仿宋"/>
                <w:bCs/>
                <w:sz w:val="24"/>
              </w:rPr>
            </w:pPr>
            <w:r>
              <w:rPr>
                <w:rFonts w:hint="eastAsia" w:ascii="仿宋" w:hAnsi="仿宋" w:eastAsia="仿宋" w:cs="仿宋"/>
                <w:bCs/>
                <w:sz w:val="24"/>
              </w:rPr>
              <w:t xml:space="preserve">（一）技术部分</w:t>
            </w:r>
            <w:r/>
          </w:p>
          <w:p>
            <w:pPr>
              <w:jc w:val="left"/>
              <w:rPr>
                <w:rFonts w:ascii="仿宋" w:hAnsi="仿宋" w:eastAsia="仿宋" w:cs="仿宋"/>
                <w:bCs/>
                <w:sz w:val="24"/>
              </w:rPr>
            </w:pPr>
            <w:r>
              <w:rPr>
                <w:rFonts w:hint="eastAsia" w:ascii="仿宋" w:hAnsi="仿宋" w:eastAsia="仿宋" w:cs="仿宋"/>
                <w:bCs/>
                <w:sz w:val="24"/>
              </w:rPr>
              <w:t xml:space="preserve">1.质量、技术要求及实施方案（要求见招标文件第四章《评标标准》）；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2、质量承诺及售后服务因素（要求见招标文件第四章《评标标准》）；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（二）商务部分</w:t>
            </w:r>
            <w:r/>
          </w:p>
          <w:p>
            <w:pPr>
              <w:jc w:val="left"/>
              <w:rPr>
                <w:rFonts w:ascii="仿宋" w:hAnsi="仿宋" w:eastAsia="仿宋" w:cs="仿宋"/>
                <w:bCs/>
                <w:sz w:val="24"/>
              </w:rPr>
            </w:pPr>
            <w:r>
              <w:rPr>
                <w:rFonts w:hint="eastAsia" w:ascii="仿宋" w:hAnsi="仿宋" w:eastAsia="仿宋" w:cs="仿宋"/>
                <w:bCs/>
                <w:sz w:val="24"/>
              </w:rPr>
              <w:t xml:space="preserve">1.业绩（要求见招标文件第四章《评标标准》）；</w:t>
            </w:r>
            <w:r/>
          </w:p>
          <w:p>
            <w:pPr>
              <w:jc w:val="left"/>
              <w:rPr>
                <w:rFonts w:ascii="仿宋" w:hAnsi="仿宋" w:eastAsia="仿宋" w:cs="仿宋"/>
                <w:bCs/>
                <w:sz w:val="24"/>
              </w:rPr>
            </w:pPr>
            <w:r>
              <w:rPr>
                <w:rFonts w:hint="eastAsia" w:ascii="仿宋" w:hAnsi="仿宋" w:eastAsia="仿宋" w:cs="仿宋"/>
                <w:bCs/>
                <w:sz w:val="24"/>
              </w:rPr>
              <w:t xml:space="preserve">2.投标人其他证明文件及材料。</w:t>
            </w:r>
            <w:r/>
          </w:p>
          <w:p>
            <w:pPr>
              <w:pStyle w:val="1084"/>
              <w:ind w:firstLine="0"/>
              <w:jc w:val="left"/>
              <w:spacing w:line="240" w:lineRule="auto"/>
              <w:widowControl/>
              <w:rPr>
                <w:rFonts w:ascii="仿宋" w:hAnsi="仿宋" w:eastAsia="仿宋"/>
                <w:b/>
                <w:bCs/>
                <w:color w:val="000000"/>
              </w:rPr>
            </w:pPr>
            <w:r>
              <w:rPr>
                <w:rFonts w:ascii="仿宋" w:hAnsi="仿宋" w:eastAsia="仿宋"/>
                <w:b/>
                <w:bCs/>
                <w:color w:val="000000"/>
              </w:rPr>
              <w:t xml:space="preserve">五、价格折扣文件格式</w:t>
            </w:r>
            <w:r>
              <w:rPr>
                <w:rFonts w:hint="eastAsia" w:ascii="仿宋" w:hAnsi="仿宋" w:eastAsia="仿宋"/>
                <w:b/>
                <w:bCs/>
                <w:color w:val="000000"/>
              </w:rPr>
              <w:t xml:space="preserve">：</w:t>
            </w:r>
            <w:r>
              <w:rPr>
                <w:rFonts w:ascii="仿宋" w:hAnsi="仿宋" w:eastAsia="仿宋"/>
                <w:b/>
                <w:bCs/>
                <w:color w:val="000000"/>
              </w:rPr>
              <w:t xml:space="preserve">无。</w:t>
            </w:r>
            <w:r/>
          </w:p>
          <w:p>
            <w:pPr>
              <w:jc w:val="left"/>
              <w:rPr>
                <w:rFonts w:ascii="仿宋" w:hAnsi="仿宋" w:eastAsia="仿宋" w:cs="仿宋"/>
                <w:bCs/>
                <w:sz w:val="24"/>
              </w:rPr>
            </w:pPr>
            <w:r>
              <w:rPr>
                <w:rFonts w:hint="eastAsia" w:ascii="仿宋" w:hAnsi="仿宋" w:eastAsia="仿宋" w:cs="仿宋"/>
                <w:bCs/>
                <w:sz w:val="24"/>
              </w:rPr>
              <w:t xml:space="preserve">注：</w:t>
            </w:r>
            <w:r/>
          </w:p>
          <w:p>
            <w:pPr>
              <w:jc w:val="left"/>
              <w:rPr>
                <w:rFonts w:ascii="仿宋" w:hAnsi="仿宋" w:eastAsia="仿宋" w:cs="仿宋"/>
                <w:bCs/>
                <w:sz w:val="24"/>
              </w:rPr>
            </w:pPr>
            <w:r>
              <w:rPr>
                <w:rFonts w:hint="eastAsia" w:ascii="仿宋" w:hAnsi="仿宋" w:eastAsia="仿宋" w:cs="仿宋"/>
                <w:bCs/>
                <w:sz w:val="24"/>
              </w:rPr>
              <w:t xml:space="preserve">1.投标人应对以上文件的合法性、真实性负责。</w:t>
            </w:r>
            <w:r/>
          </w:p>
          <w:p>
            <w:pPr>
              <w:jc w:val="left"/>
              <w:rPr>
                <w:rFonts w:ascii="仿宋" w:hAnsi="仿宋" w:eastAsia="仿宋" w:cs="仿宋"/>
                <w:color w:val="000000"/>
                <w:sz w:val="24"/>
              </w:rPr>
            </w:pPr>
            <w:r>
              <w:rPr>
                <w:rFonts w:hint="eastAsia" w:ascii="仿宋" w:hAnsi="仿宋" w:eastAsia="仿宋" w:cs="仿宋"/>
                <w:bCs/>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投标人应当通过“苏采云”系统提交数据电文形式的投标文件（即电子投标文件）。</w:t>
            </w:r>
            <w:r/>
          </w:p>
          <w:p>
            <w:pPr>
              <w:jc w:val="left"/>
              <w:rPr>
                <w:rFonts w:ascii="仿宋" w:hAnsi="仿宋" w:eastAsia="仿宋" w:cs="仿宋"/>
                <w:color w:val="000000"/>
                <w:sz w:val="24"/>
              </w:rPr>
            </w:pPr>
            <w:r>
              <w:rPr>
                <w:rFonts w:hint="eastAsia" w:ascii="仿宋" w:hAnsi="仿宋" w:eastAsia="仿宋" w:cs="仿宋"/>
                <w:bCs/>
                <w:sz w:val="24"/>
              </w:rPr>
              <w:t xml:space="preserve">特别说明：通过“苏采云”系统提交政府采购客户端工具导出加密的投标文件（后缀名为zip）。投标文件不得超过350M！</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投标文件的退还：</w:t>
            </w:r>
            <w:r/>
          </w:p>
          <w:p>
            <w:pPr>
              <w:jc w:val="left"/>
              <w:rPr>
                <w:rFonts w:ascii="仿宋" w:hAnsi="仿宋" w:eastAsia="仿宋" w:cs="仿宋"/>
                <w:bCs/>
                <w:sz w:val="24"/>
              </w:rPr>
            </w:pPr>
            <w:r>
              <w:rPr>
                <w:rFonts w:hint="eastAsia" w:ascii="仿宋" w:hAnsi="仿宋" w:eastAsia="仿宋" w:cs="仿宋"/>
                <w:bCs/>
                <w:sz w:val="24"/>
              </w:rPr>
              <w:t xml:space="preserve">投标文件不退还投标人，若采购人索取中标人的数据电文形式的投标文件，须在双方签定政府采购合同后，由采购代理机构提供给采购人。</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投标文件的密封、签署、盖章要求：</w:t>
            </w:r>
            <w:r/>
          </w:p>
          <w:p>
            <w:pPr>
              <w:jc w:val="left"/>
              <w:rPr>
                <w:rFonts w:ascii="仿宋" w:hAnsi="仿宋" w:eastAsia="仿宋" w:cs="仿宋"/>
                <w:bCs/>
                <w:sz w:val="24"/>
              </w:rPr>
            </w:pPr>
            <w:r>
              <w:rPr>
                <w:rFonts w:hint="eastAsia" w:ascii="仿宋" w:hAnsi="仿宋" w:eastAsia="仿宋" w:cs="仿宋"/>
                <w:bCs/>
                <w:sz w:val="24"/>
              </w:rPr>
              <w:t xml:space="preserve">一、投标文件的密封（加密）要求：</w:t>
            </w:r>
            <w:r/>
          </w:p>
          <w:p>
            <w:pPr>
              <w:jc w:val="left"/>
              <w:rPr>
                <w:rFonts w:ascii="仿宋" w:hAnsi="仿宋" w:eastAsia="仿宋" w:cs="仿宋"/>
                <w:bCs/>
                <w:sz w:val="24"/>
              </w:rPr>
            </w:pPr>
            <w:r>
              <w:rPr>
                <w:rFonts w:hint="eastAsia" w:ascii="仿宋" w:hAnsi="仿宋" w:eastAsia="仿宋" w:cs="仿宋"/>
                <w:bCs/>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rPr>
                <w:rFonts w:ascii="仿宋" w:hAnsi="仿宋" w:eastAsia="仿宋" w:cs="仿宋"/>
                <w:bCs/>
                <w:sz w:val="24"/>
              </w:rPr>
            </w:pPr>
            <w:r>
              <w:rPr>
                <w:rFonts w:hint="eastAsia" w:ascii="仿宋" w:hAnsi="仿宋" w:eastAsia="仿宋" w:cs="仿宋"/>
                <w:bCs/>
                <w:sz w:val="24"/>
              </w:rPr>
              <w:t xml:space="preserve">二、投标文件的签署要求：见招标文件第七章《投标文件相关格式》。</w:t>
            </w:r>
            <w:r/>
          </w:p>
          <w:p>
            <w:pPr>
              <w:jc w:val="left"/>
              <w:rPr>
                <w:rFonts w:ascii="仿宋" w:hAnsi="仿宋" w:eastAsia="仿宋" w:cs="仿宋"/>
                <w:bCs/>
                <w:sz w:val="24"/>
              </w:rPr>
            </w:pPr>
            <w:r>
              <w:rPr>
                <w:rFonts w:hint="eastAsia" w:ascii="仿宋" w:hAnsi="仿宋" w:eastAsia="仿宋" w:cs="仿宋"/>
                <w:bCs/>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投标人未按规定加密的投标文件，“苏采云”系统应当拒收并提示。</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投标人应当在投标截止时间前完成投标文件的传输提交，并可以补充、修改或者撤回投标文件。</w:t>
            </w:r>
            <w:r/>
          </w:p>
          <w:p>
            <w:pPr>
              <w:jc w:val="left"/>
              <w:rPr>
                <w:rFonts w:ascii="仿宋" w:hAnsi="仿宋" w:eastAsia="仿宋" w:cs="仿宋"/>
                <w:bCs/>
                <w:sz w:val="24"/>
              </w:rPr>
            </w:pPr>
            <w:r>
              <w:rPr>
                <w:rFonts w:hint="eastAsia" w:ascii="仿宋" w:hAnsi="仿宋" w:eastAsia="仿宋" w:cs="仿宋"/>
                <w:bCs/>
                <w:sz w:val="24"/>
              </w:rPr>
              <w:t xml:space="preserve">补充、修改投标文件的，须先撤回投标文件，重新编制（即补充、修改）投标文件，在投标截止时间前完成投标文件的传输提交。</w:t>
            </w:r>
            <w:r/>
          </w:p>
          <w:p>
            <w:pPr>
              <w:jc w:val="left"/>
              <w:rPr>
                <w:rFonts w:ascii="仿宋" w:hAnsi="仿宋" w:eastAsia="仿宋" w:cs="仿宋"/>
                <w:bCs/>
                <w:sz w:val="24"/>
              </w:rPr>
            </w:pPr>
            <w:r>
              <w:rPr>
                <w:rFonts w:hint="eastAsia" w:ascii="仿宋" w:hAnsi="仿宋" w:eastAsia="仿宋" w:cs="仿宋"/>
                <w:bCs/>
                <w:sz w:val="24"/>
              </w:rPr>
              <w:t xml:space="preserve">投标截止时间前未完成投标文件传输的，视为撤回投标文件。投标截止时间后提交的投标文件，“苏采云”系统应当拒收。</w:t>
            </w:r>
            <w:r/>
          </w:p>
          <w:p>
            <w:pPr>
              <w:jc w:val="left"/>
              <w:rPr>
                <w:rFonts w:ascii="仿宋" w:hAnsi="仿宋" w:eastAsia="仿宋" w:cs="仿宋"/>
                <w:bCs/>
                <w:sz w:val="24"/>
              </w:rPr>
            </w:pPr>
            <w:r>
              <w:rPr>
                <w:rFonts w:hint="eastAsia" w:ascii="仿宋" w:hAnsi="仿宋" w:eastAsia="仿宋" w:cs="仿宋"/>
                <w:bCs/>
                <w:sz w:val="24"/>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投标截止时间：</w:t>
            </w:r>
            <w:r>
              <w:rPr>
                <w:rFonts w:hint="eastAsia" w:ascii="仿宋" w:hAnsi="仿宋" w:eastAsia="仿宋" w:cs="仿宋"/>
                <w:b/>
                <w:bCs/>
                <w:sz w:val="24"/>
                <w:highlight w:val="none"/>
              </w:rPr>
              <w:t xml:space="preserve">202</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lang w:val="en-US" w:eastAsia="zh-CN"/>
              </w:rPr>
              <w:t xml:space="preserve">05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11</w:t>
            </w:r>
            <w:r>
              <w:rPr>
                <w:rFonts w:hint="eastAsia" w:ascii="仿宋" w:hAnsi="仿宋" w:eastAsia="仿宋" w:cs="仿宋"/>
                <w:b/>
                <w:bCs/>
                <w:sz w:val="24"/>
                <w:highlight w:val="none"/>
              </w:rPr>
              <w:t xml:space="preserve">日北京时间9：</w:t>
            </w:r>
            <w:r>
              <w:rPr>
                <w:rFonts w:hint="eastAsia" w:ascii="仿宋" w:hAnsi="仿宋" w:eastAsia="仿宋" w:cs="仿宋"/>
                <w:b/>
                <w:bCs/>
                <w:sz w:val="24"/>
                <w:highlight w:val="none"/>
                <w:lang w:val="en-US" w:eastAsia="zh-CN"/>
              </w:rPr>
              <w:t xml:space="preserve">0</w:t>
            </w:r>
            <w:r>
              <w:rPr>
                <w:rFonts w:hint="eastAsia" w:ascii="仿宋" w:hAnsi="仿宋" w:eastAsia="仿宋" w:cs="仿宋"/>
                <w:b/>
                <w:bCs/>
                <w:sz w:val="24"/>
                <w:highlight w:val="none"/>
              </w:rPr>
              <w:t xml:space="preserve">0</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投标文件的提交与接收： </w:t>
            </w:r>
            <w:r/>
          </w:p>
          <w:p>
            <w:pPr>
              <w:jc w:val="left"/>
              <w:widowControl/>
              <w:rPr>
                <w:rFonts w:ascii="仿宋" w:hAnsi="仿宋" w:eastAsia="仿宋" w:cs="仿宋"/>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sz w:val="24"/>
                <w:highlight w:val="none"/>
              </w:rPr>
              <w:t xml:space="preserve">投标文件提交与接收时间：提交投标文件截止时间（202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05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日北京时间9:</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0）前。</w:t>
            </w:r>
            <w:r/>
          </w:p>
          <w:p>
            <w:pPr>
              <w:jc w:val="left"/>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招标文件对本项目分包的规定：采购人不允许采用分包方式履行合同。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报价相同的，招标文件规定的确定一个投标人参加评标的方式：由采购人确定。</w:t>
            </w:r>
            <w:r/>
          </w:p>
          <w:p>
            <w:pPr>
              <w:jc w:val="left"/>
              <w:rPr>
                <w:rFonts w:ascii="仿宋" w:hAnsi="仿宋" w:eastAsia="仿宋" w:cs="仿宋"/>
                <w:bCs/>
                <w:sz w:val="24"/>
              </w:rPr>
            </w:pPr>
            <w:r>
              <w:rPr>
                <w:rFonts w:hint="eastAsia" w:ascii="仿宋" w:hAnsi="仿宋" w:eastAsia="仿宋" w:cs="仿宋"/>
                <w:bCs/>
                <w:sz w:val="24"/>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29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评审得分相同的，招标文件规定的确定一个投标人获得中标人推荐资格的方式：由采购人确定。</w:t>
            </w:r>
            <w:r/>
          </w:p>
          <w:p>
            <w:pPr>
              <w:jc w:val="left"/>
              <w:rPr>
                <w:rFonts w:ascii="仿宋" w:hAnsi="仿宋" w:eastAsia="仿宋" w:cs="仿宋"/>
                <w:bCs/>
                <w:sz w:val="24"/>
              </w:rPr>
            </w:pPr>
            <w:r>
              <w:rPr>
                <w:rFonts w:hint="eastAsia" w:ascii="仿宋" w:hAnsi="仿宋" w:eastAsia="仿宋" w:cs="仿宋"/>
                <w:bCs/>
                <w:sz w:val="24"/>
              </w:rPr>
              <w:t xml:space="preserve">核心产品为两个及以上（具体见24.2）的，不同投标人所投的核心产品（两个及以上）均为同一品牌的，按照提供相同品牌产品处理。</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采购人根据采购项目技术构成、产品价格比重等确定核心产品：无。</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四、开标、评标</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b/>
                <w:bCs/>
                <w:sz w:val="24"/>
                <w:highlight w:val="none"/>
              </w:rPr>
            </w:pPr>
            <w:r>
              <w:rPr>
                <w:rFonts w:hint="eastAsia" w:ascii="仿宋" w:hAnsi="仿宋" w:eastAsia="仿宋" w:cs="仿宋"/>
                <w:b/>
                <w:bCs/>
                <w:sz w:val="24"/>
                <w:highlight w:val="none"/>
              </w:rPr>
              <w:t xml:space="preserve">开标时间及地点：</w:t>
            </w:r>
            <w:r/>
          </w:p>
          <w:p>
            <w:pPr>
              <w:pStyle w:val="1069"/>
              <w:jc w:val="left"/>
              <w:widowControl/>
              <w:rPr>
                <w:rFonts w:hint="default" w:ascii="仿宋" w:hAnsi="仿宋" w:eastAsia="仿宋" w:cs="仿宋"/>
                <w:b/>
                <w:bCs/>
                <w:sz w:val="24"/>
                <w:highlight w:val="none"/>
                <w:lang w:val="en-US" w:eastAsia="zh-CN"/>
              </w:rPr>
            </w:pPr>
            <w:r>
              <w:rPr>
                <w:rFonts w:hint="eastAsia" w:ascii="仿宋" w:hAnsi="仿宋" w:eastAsia="仿宋" w:cs="仿宋"/>
                <w:b/>
                <w:bCs/>
                <w:sz w:val="24"/>
                <w:highlight w:val="none"/>
              </w:rPr>
              <w:t xml:space="preserve">1.开标时间：202</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年</w:t>
            </w:r>
            <w:r>
              <w:rPr>
                <w:rFonts w:hint="eastAsia" w:ascii="仿宋" w:hAnsi="仿宋" w:eastAsia="仿宋" w:cs="仿宋"/>
                <w:b/>
                <w:bCs/>
                <w:sz w:val="24"/>
                <w:highlight w:val="none"/>
                <w:lang w:val="en-US" w:eastAsia="zh-CN"/>
              </w:rPr>
              <w:t xml:space="preserve">05</w:t>
            </w:r>
            <w:r>
              <w:rPr>
                <w:rFonts w:hint="eastAsia" w:ascii="仿宋" w:hAnsi="仿宋" w:eastAsia="仿宋" w:cs="仿宋"/>
                <w:b/>
                <w:bCs/>
                <w:sz w:val="24"/>
                <w:highlight w:val="none"/>
              </w:rPr>
              <w:t xml:space="preserve">月</w:t>
            </w:r>
            <w:r>
              <w:rPr>
                <w:rFonts w:hint="eastAsia" w:ascii="仿宋" w:hAnsi="仿宋" w:eastAsia="仿宋" w:cs="仿宋"/>
                <w:b/>
                <w:bCs/>
                <w:sz w:val="24"/>
                <w:highlight w:val="none"/>
                <w:lang w:val="en-US" w:eastAsia="zh-CN"/>
              </w:rPr>
              <w:t xml:space="preserve">11</w:t>
            </w:r>
            <w:r>
              <w:rPr>
                <w:rFonts w:hint="eastAsia" w:ascii="仿宋" w:hAnsi="仿宋" w:eastAsia="仿宋" w:cs="仿宋"/>
                <w:b/>
                <w:bCs/>
                <w:sz w:val="24"/>
                <w:highlight w:val="none"/>
              </w:rPr>
              <w:t xml:space="preserve">日北京时间9：</w:t>
            </w:r>
            <w:r>
              <w:rPr>
                <w:rFonts w:hint="eastAsia" w:ascii="仿宋" w:hAnsi="仿宋" w:eastAsia="仿宋" w:cs="仿宋"/>
                <w:b/>
                <w:bCs/>
                <w:sz w:val="24"/>
                <w:highlight w:val="none"/>
                <w:lang w:val="en-US" w:eastAsia="zh-CN"/>
              </w:rPr>
              <w:t xml:space="preserve">00</w:t>
            </w:r>
            <w:r/>
          </w:p>
          <w:p>
            <w:pPr>
              <w:pStyle w:val="1069"/>
              <w:jc w:val="left"/>
              <w:widowControl/>
              <w:rPr>
                <w:rFonts w:ascii="仿宋" w:hAnsi="仿宋" w:eastAsia="仿宋" w:cs="仿宋"/>
                <w:color w:val="000000"/>
                <w:sz w:val="24"/>
                <w:highlight w:val="none"/>
              </w:rPr>
            </w:pPr>
            <w:r>
              <w:rPr>
                <w:rFonts w:hint="eastAsia" w:ascii="仿宋" w:hAnsi="仿宋" w:eastAsia="仿宋" w:cs="仿宋"/>
                <w:b/>
                <w:bCs/>
                <w:sz w:val="24"/>
                <w:highlight w:val="none"/>
              </w:rPr>
              <w:t xml:space="preserve">2.开标地点：“苏采云”系统（网址： http://jszfcg.jsczt.cn/）“开标大厅”。</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bCs/>
                <w:sz w:val="24"/>
              </w:rPr>
            </w:pPr>
            <w:r>
              <w:rPr>
                <w:rFonts w:hint="eastAsia" w:ascii="仿宋" w:hAnsi="仿宋" w:eastAsia="仿宋" w:cs="仿宋"/>
                <w:bCs/>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rPr>
                <w:rFonts w:ascii="仿宋" w:hAnsi="仿宋" w:eastAsia="仿宋" w:cs="仿宋"/>
                <w:bCs/>
                <w:sz w:val="24"/>
              </w:rPr>
            </w:pPr>
            <w:r>
              <w:rPr>
                <w:rFonts w:hint="eastAsia" w:ascii="仿宋" w:hAnsi="仿宋" w:eastAsia="仿宋" w:cs="仿宋"/>
                <w:bCs/>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rPr>
                <w:rFonts w:ascii="仿宋" w:hAnsi="仿宋" w:eastAsia="仿宋" w:cs="仿宋"/>
                <w:color w:val="000000"/>
                <w:sz w:val="24"/>
              </w:rPr>
            </w:pPr>
            <w:r>
              <w:rPr>
                <w:rFonts w:hint="eastAsia" w:ascii="仿宋" w:hAnsi="仿宋" w:eastAsia="仿宋" w:cs="仿宋"/>
                <w:bCs/>
                <w:sz w:val="24"/>
              </w:rPr>
              <w:t xml:space="preserve">“苏采云”系统生成开标记录并向社会公众公布，但依法应当保密的除外。</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33</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“苏采云”系统生成开标记录并</w:t>
            </w:r>
            <w:r>
              <w:rPr>
                <w:rFonts w:hint="eastAsia" w:ascii="仿宋" w:hAnsi="仿宋" w:eastAsia="仿宋" w:cs="仿宋"/>
                <w:b/>
                <w:bCs/>
                <w:color w:val="000000"/>
                <w:sz w:val="24"/>
              </w:rPr>
              <w:t xml:space="preserve">向社会公众公布后6分钟内</w:t>
            </w:r>
            <w:r>
              <w:rPr>
                <w:rFonts w:hint="eastAsia" w:ascii="仿宋" w:hAnsi="仿宋" w:eastAsia="仿宋" w:cs="仿宋"/>
                <w:color w:val="000000"/>
                <w:sz w:val="24"/>
              </w:rPr>
              <w:t xml:space="preserve">，投标人通过“苏采云”系统（使用“CA数字证书”）</w:t>
            </w:r>
            <w:r>
              <w:rPr>
                <w:rFonts w:hint="eastAsia" w:ascii="仿宋" w:hAnsi="仿宋" w:eastAsia="仿宋" w:cs="仿宋"/>
                <w:b/>
                <w:bCs/>
                <w:color w:val="000000"/>
                <w:sz w:val="24"/>
              </w:rPr>
              <w:t xml:space="preserve">确认开标过程</w:t>
            </w:r>
            <w:r>
              <w:rPr>
                <w:rFonts w:hint="eastAsia" w:ascii="仿宋" w:hAnsi="仿宋" w:eastAsia="仿宋" w:cs="仿宋"/>
                <w:color w:val="000000"/>
                <w:sz w:val="24"/>
              </w:rPr>
              <w:t xml:space="preserve">。在以上时间内投标人没有确认的，视同该投标人认可开标结果。</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34</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35</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1.评标中需要投标人对投标文件澄清或者说明的，应当通过“苏采云”系统交换数据电文。</w:t>
            </w:r>
            <w:r>
              <w:rPr>
                <w:rFonts w:hint="eastAsia" w:ascii="仿宋" w:hAnsi="仿宋" w:eastAsia="仿宋" w:cs="仿宋"/>
                <w:b/>
                <w:color w:val="000000"/>
                <w:sz w:val="24"/>
              </w:rPr>
              <w:t xml:space="preserve">在评标期间，请投标人保持在线</w:t>
            </w:r>
            <w:r>
              <w:rPr>
                <w:rFonts w:hint="eastAsia" w:ascii="仿宋" w:hAnsi="仿宋" w:eastAsia="仿宋" w:cs="仿宋"/>
                <w:color w:val="000000"/>
                <w:sz w:val="24"/>
              </w:rPr>
              <w:t xml:space="preserve">。</w:t>
            </w:r>
            <w:r/>
          </w:p>
          <w:p>
            <w:pPr>
              <w:jc w:val="left"/>
              <w:rPr>
                <w:rFonts w:ascii="仿宋" w:hAnsi="仿宋" w:eastAsia="仿宋" w:cs="仿宋"/>
                <w:bCs/>
                <w:sz w:val="24"/>
              </w:rPr>
            </w:pPr>
            <w:r>
              <w:rPr>
                <w:rFonts w:hint="eastAsia" w:ascii="仿宋" w:hAnsi="仿宋" w:eastAsia="仿宋" w:cs="仿宋"/>
                <w:bCs/>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ascii="仿宋" w:hAnsi="仿宋" w:eastAsia="仿宋" w:cs="仿宋"/>
                <w:bCs/>
                <w:sz w:val="24"/>
              </w:rPr>
            </w:pPr>
            <w:r>
              <w:rPr>
                <w:rFonts w:hint="eastAsia" w:ascii="仿宋" w:hAnsi="仿宋" w:eastAsia="仿宋" w:cs="仿宋"/>
                <w:bCs/>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仿宋" w:hAnsi="仿宋" w:eastAsia="仿宋" w:cs="仿宋"/>
                <w:color w:val="000000"/>
                <w:sz w:val="24"/>
              </w:rPr>
            </w:pPr>
            <w:r>
              <w:rPr>
                <w:rFonts w:hint="eastAsia" w:ascii="仿宋" w:hAnsi="仿宋" w:eastAsia="仿宋" w:cs="仿宋"/>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36</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本项目的评标方法：综合评分法。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五、中标和合同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37</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一、推荐中标候选投标人名单。中标候选投标人数量应当根据采购需要确定，但必须按顺序排列中标候选投标人。</w:t>
            </w:r>
            <w:r/>
          </w:p>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二、采用综合评分法的，按评审后得分由高到低顺序排列。得分相同的，按服务方案得分顺序排列。</w:t>
            </w:r>
            <w:r/>
          </w:p>
          <w:p>
            <w:pPr>
              <w:jc w:val="left"/>
              <w:rPr>
                <w:rFonts w:ascii="仿宋" w:hAnsi="仿宋" w:eastAsia="仿宋" w:cs="仿宋"/>
                <w:sz w:val="24"/>
              </w:rPr>
            </w:pPr>
            <w:r>
              <w:rPr>
                <w:rFonts w:hint="eastAsia" w:ascii="仿宋" w:hAnsi="仿宋" w:eastAsia="仿宋" w:cs="仿宋"/>
                <w:sz w:val="24"/>
              </w:rPr>
              <w:t xml:space="preserve">中标候选人并列的，招标文件规定的确定中标人方式：抽签方式确定。</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38</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Pr>
            <w:r>
              <w:rPr>
                <w:rFonts w:hint="eastAsia" w:ascii="仿宋" w:hAnsi="仿宋" w:eastAsia="仿宋" w:cs="仿宋"/>
                <w:b/>
                <w:color w:val="000000"/>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39</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在公告中标结果的同时，依法必须进行招标的项目中标结果在“苏采云”系统进行公示和公布。</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40</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采购人与中标、成交投标人应当在中标、成交通知书发出之日起30日内，按照采购文件确定的事项签订政府采购合同。</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41</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特别说明：</w:t>
            </w:r>
            <w:r/>
          </w:p>
          <w:p>
            <w:pPr>
              <w:jc w:val="left"/>
              <w:rPr>
                <w:rFonts w:ascii="仿宋" w:hAnsi="仿宋" w:eastAsia="仿宋" w:cs="仿宋"/>
                <w:color w:val="000000"/>
                <w:sz w:val="24"/>
              </w:rPr>
            </w:pPr>
            <w:r>
              <w:rPr>
                <w:rFonts w:hint="eastAsia" w:ascii="仿宋" w:hAnsi="仿宋" w:eastAsia="仿宋" w:cs="仿宋"/>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六、询问和质疑</w:t>
            </w:r>
            <w:r/>
          </w:p>
        </w:tc>
      </w:tr>
      <w:tr>
        <w:trPr/>
        <w:tc>
          <w:tcPr>
            <w:tcBorders>
              <w:top w:val="single" w:color="auto" w:sz="4" w:space="0"/>
              <w:left w:val="single" w:color="auto" w:sz="12" w:space="0"/>
              <w:bottom w:val="single" w:color="auto" w:sz="4"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42</w:t>
            </w:r>
            <w:r/>
          </w:p>
        </w:tc>
        <w:tc>
          <w:tcPr>
            <w:tcBorders>
              <w:top w:val="single" w:color="auto" w:sz="4" w:space="0"/>
              <w:left w:val="single" w:color="auto" w:sz="4" w:space="0"/>
              <w:bottom w:val="single" w:color="auto" w:sz="4" w:space="0"/>
              <w:right w:val="single" w:color="auto" w:sz="12" w:space="0"/>
            </w:tcBorders>
            <w:tcW w:w="8975" w:type="dxa"/>
            <w:vAlign w:val="center"/>
            <w:textDirection w:val="lrTb"/>
            <w:noWrap w:val="false"/>
          </w:tcPr>
          <w:p>
            <w:pPr>
              <w:jc w:val="left"/>
              <w:rPr>
                <w:rFonts w:ascii="仿宋" w:hAnsi="仿宋" w:eastAsia="仿宋" w:cs="仿宋"/>
                <w:color w:val="000000"/>
                <w:sz w:val="24"/>
              </w:rPr>
            </w:pPr>
            <w:r>
              <w:rPr>
                <w:rFonts w:hint="eastAsia" w:ascii="仿宋" w:hAnsi="仿宋" w:eastAsia="仿宋" w:cs="仿宋"/>
                <w:color w:val="000000"/>
                <w:sz w:val="24"/>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ascii="仿宋" w:hAnsi="仿宋" w:eastAsia="仿宋" w:cs="仿宋"/>
                <w:color w:val="000000"/>
                <w:sz w:val="24"/>
              </w:rPr>
            </w:pPr>
            <w:r>
              <w:rPr>
                <w:rFonts w:hint="eastAsia" w:ascii="仿宋" w:hAnsi="仿宋" w:eastAsia="仿宋" w:cs="仿宋"/>
                <w:color w:val="000000"/>
                <w:sz w:val="24"/>
              </w:rPr>
              <w:t xml:space="preserve">2、投标人在法定质疑期内一次性提出针对同一采购程序环节的质疑。</w:t>
            </w:r>
            <w:r/>
          </w:p>
          <w:p>
            <w:pPr>
              <w:jc w:val="left"/>
              <w:rPr>
                <w:rFonts w:ascii="仿宋" w:hAnsi="仿宋" w:eastAsia="仿宋" w:cs="仿宋"/>
                <w:color w:val="000000"/>
                <w:sz w:val="24"/>
              </w:rPr>
            </w:pPr>
            <w:r>
              <w:rPr>
                <w:rFonts w:hint="eastAsia" w:ascii="仿宋" w:hAnsi="仿宋" w:eastAsia="仿宋" w:cs="仿宋"/>
                <w:color w:val="000000"/>
                <w:sz w:val="24"/>
              </w:rPr>
              <w:t xml:space="preserve">3、质疑函格式详见附件二。</w:t>
            </w:r>
            <w:r/>
          </w:p>
          <w:p>
            <w:pPr>
              <w:jc w:val="left"/>
              <w:rPr>
                <w:rFonts w:ascii="仿宋" w:hAnsi="仿宋" w:eastAsia="仿宋" w:cs="仿宋"/>
                <w:color w:val="000000"/>
                <w:sz w:val="24"/>
              </w:rPr>
            </w:pPr>
            <w:r>
              <w:rPr>
                <w:rFonts w:hint="eastAsia" w:ascii="仿宋" w:hAnsi="仿宋" w:eastAsia="仿宋" w:cs="仿宋"/>
                <w:color w:val="000000"/>
                <w:sz w:val="24"/>
              </w:rPr>
              <w:t xml:space="preserve">质疑接收人：沙先生     联系电话：18083718209</w:t>
            </w:r>
            <w:r/>
          </w:p>
          <w:p>
            <w:pPr>
              <w:jc w:val="left"/>
              <w:rPr>
                <w:rFonts w:ascii="仿宋" w:hAnsi="仿宋" w:eastAsia="仿宋" w:cs="仿宋"/>
                <w:color w:val="000000"/>
                <w:sz w:val="24"/>
              </w:rPr>
            </w:pPr>
            <w:r>
              <w:rPr>
                <w:rFonts w:hint="eastAsia" w:ascii="仿宋" w:hAnsi="仿宋" w:eastAsia="仿宋" w:cs="仿宋"/>
                <w:color w:val="000000"/>
                <w:sz w:val="24"/>
              </w:rPr>
              <w:t xml:space="preserve">地址：兴化市五里东路309号</w:t>
            </w:r>
            <w:r/>
          </w:p>
        </w:tc>
      </w:tr>
      <w:tr>
        <w:trPr/>
        <w:tc>
          <w:tcPr>
            <w:tcBorders>
              <w:top w:val="single" w:color="auto" w:sz="4" w:space="0"/>
              <w:left w:val="single" w:color="auto" w:sz="12" w:space="0"/>
              <w:bottom w:val="single" w:color="auto" w:sz="12" w:space="0"/>
              <w:right w:val="single" w:color="auto" w:sz="4" w:space="0"/>
            </w:tcBorders>
            <w:tcW w:w="87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b/>
                <w:bCs/>
                <w:color w:val="000000"/>
                <w:sz w:val="24"/>
              </w:rPr>
              <w:t xml:space="preserve">附加说明</w:t>
            </w:r>
            <w:r/>
          </w:p>
        </w:tc>
        <w:tc>
          <w:tcPr>
            <w:tcBorders>
              <w:top w:val="single" w:color="auto" w:sz="4" w:space="0"/>
              <w:left w:val="single" w:color="auto" w:sz="4" w:space="0"/>
              <w:bottom w:val="single" w:color="auto" w:sz="12" w:space="0"/>
              <w:right w:val="single" w:color="auto" w:sz="12" w:space="0"/>
            </w:tcBorders>
            <w:tcW w:w="8975"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中标人在收到中标通知书时，须向采购代理机构提交一正一副两本完整标书，用于兴化市财政局与采购人存档。</w:t>
            </w:r>
            <w:r/>
          </w:p>
        </w:tc>
      </w:tr>
    </w:tbl>
    <w:p>
      <w:pPr>
        <w:rPr>
          <w:rFonts w:ascii="仿宋" w:hAnsi="仿宋" w:eastAsia="仿宋" w:cs="仿宋"/>
          <w:sz w:val="24"/>
        </w:rPr>
      </w:pPr>
      <w:r>
        <w:rPr>
          <w:rFonts w:ascii="仿宋" w:hAnsi="仿宋" w:eastAsia="仿宋" w:cs="仿宋"/>
          <w:sz w:val="24"/>
        </w:rPr>
        <w:br w:type="page" w:clear="all"/>
      </w:r>
      <w:r/>
    </w:p>
    <w:p>
      <w:pPr>
        <w:keepNext/>
        <w:pageBreakBefore/>
        <w:spacing w:line="360" w:lineRule="auto"/>
        <w:widowControl/>
        <w:rPr>
          <w:rFonts w:ascii="仿宋" w:hAnsi="仿宋" w:eastAsia="仿宋" w:cs="仿宋"/>
          <w:sz w:val="30"/>
          <w:szCs w:val="30"/>
        </w:rPr>
      </w:pPr>
      <w:r>
        <w:rPr>
          <w:rFonts w:hint="eastAsia" w:ascii="仿宋" w:hAnsi="仿宋" w:eastAsia="仿宋" w:cs="仿宋"/>
          <w:sz w:val="24"/>
        </w:rPr>
        <w:t xml:space="preserve">附件一 </w:t>
      </w:r>
      <w:r/>
    </w:p>
    <w:p>
      <w:pPr>
        <w:jc w:val="center"/>
        <w:spacing w:after="40"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招标代理服务收费标准</w:t>
      </w:r>
      <w:r/>
    </w:p>
    <w:p>
      <w:pPr>
        <w:ind w:firstLine="518"/>
        <w:spacing w:line="560" w:lineRule="exact"/>
        <w:rPr>
          <w:rFonts w:ascii="仿宋" w:hAnsi="仿宋" w:eastAsia="仿宋" w:cs="仿宋_GB2312"/>
          <w:b/>
          <w:bCs/>
          <w:color w:val="000000" w:themeColor="text1"/>
          <w:sz w:val="28"/>
          <w:szCs w:val="28"/>
          <w14:textFill>
            <w14:solidFill>
              <w14:schemeClr w14:val="tx1"/>
            </w14:solidFill>
          </w14:textFill>
        </w:rPr>
      </w:pPr>
      <w:r>
        <w:rPr>
          <w:rFonts w:ascii="仿宋" w:hAnsi="仿宋" w:eastAsia="仿宋" w:cs="仿宋_GB2312"/>
          <w:sz w:val="28"/>
          <w:szCs w:val="28"/>
        </w:rPr>
        <w:t xml:space="preserve">本</w:t>
      </w:r>
      <w:r>
        <w:rPr>
          <w:rFonts w:hint="eastAsia" w:ascii="仿宋" w:hAnsi="仿宋" w:eastAsia="仿宋" w:cs="仿宋_GB2312"/>
          <w:color w:val="000000" w:themeColor="text1"/>
          <w:sz w:val="28"/>
          <w:szCs w:val="28"/>
          <w14:textFill>
            <w14:solidFill>
              <w14:schemeClr w14:val="tx1"/>
            </w14:solidFill>
          </w14:textFill>
        </w:rPr>
        <w:t xml:space="preserve">项目招标代理服务费参照“《江苏省政府采购代理服务收费指导意见》的通知（苏政采协【2024】20号）”文件收费标准收取（差额累进），由中标供应商在领取成交通知书时向本公司缴纳</w:t>
      </w:r>
      <w:r>
        <w:rPr>
          <w:rFonts w:ascii="仿宋" w:hAnsi="仿宋" w:eastAsia="仿宋" w:cs="仿宋_GB2312"/>
          <w:color w:val="000000" w:themeColor="text1"/>
          <w:sz w:val="28"/>
          <w:szCs w:val="28"/>
          <w14:textFill>
            <w14:solidFill>
              <w14:schemeClr w14:val="tx1"/>
            </w14:solidFill>
          </w14:textFill>
        </w:rPr>
        <w:t xml:space="preserve">。</w:t>
      </w:r>
      <w:r/>
    </w:p>
    <w:tbl>
      <w:tblPr>
        <w:tblStyle w:val="686"/>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64"/>
        <w:gridCol w:w="2087"/>
      </w:tblGrid>
      <w:tr>
        <w:trPr>
          <w:jc w:val="center"/>
          <w:tblHeader/>
        </w:trPr>
        <w:tc>
          <w:tcPr>
            <w:tcBorders>
              <w:top w:val="single" w:color="auto" w:sz="12" w:space="0"/>
              <w:left w:val="single" w:color="auto" w:sz="12" w:space="0"/>
              <w:bottom w:val="single" w:color="auto" w:sz="4" w:space="0"/>
              <w:right w:val="single" w:color="auto" w:sz="4" w:space="0"/>
            </w:tcBorders>
            <w:tcW w:w="7764" w:type="dxa"/>
            <w:vAlign w:val="center"/>
            <w:textDirection w:val="lrTb"/>
            <w:noWrap w:val="false"/>
          </w:tcPr>
          <w:p>
            <w:pPr>
              <w:jc w:val="center"/>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中标或者成交金额</w:t>
            </w:r>
            <w:r/>
          </w:p>
        </w:tc>
        <w:tc>
          <w:tcPr>
            <w:tcBorders>
              <w:top w:val="single" w:color="auto" w:sz="12" w:space="0"/>
              <w:left w:val="single" w:color="auto" w:sz="4" w:space="0"/>
              <w:bottom w:val="single" w:color="auto" w:sz="4" w:space="0"/>
              <w:right w:val="single" w:color="auto" w:sz="12" w:space="0"/>
            </w:tcBorders>
            <w:tcW w:w="2087" w:type="dxa"/>
            <w:vAlign w:val="center"/>
            <w:textDirection w:val="lrTb"/>
            <w:noWrap w:val="false"/>
          </w:tcPr>
          <w:p>
            <w:pPr>
              <w:jc w:val="center"/>
              <w:rPr>
                <w:rFonts w:ascii="仿宋" w:hAnsi="仿宋" w:eastAsia="仿宋" w:cs="仿宋_GB2312"/>
                <w:b/>
                <w:color w:val="000000" w:themeColor="text1"/>
                <w:sz w:val="28"/>
                <w:szCs w:val="28"/>
                <w14:textFill>
                  <w14:solidFill>
                    <w14:schemeClr w14:val="tx1"/>
                  </w14:solidFill>
                </w14:textFill>
              </w:rPr>
            </w:pPr>
            <w:r>
              <w:rPr>
                <w:rFonts w:hint="eastAsia" w:ascii="仿宋" w:hAnsi="仿宋" w:eastAsia="仿宋" w:cs="仿宋_GB2312"/>
                <w:b/>
                <w:color w:val="000000" w:themeColor="text1"/>
                <w:sz w:val="28"/>
                <w:szCs w:val="28"/>
                <w14:textFill>
                  <w14:solidFill>
                    <w14:schemeClr w14:val="tx1"/>
                  </w14:solidFill>
                </w14:textFill>
              </w:rPr>
              <w:t xml:space="preserve">费率</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最低收费金额(每个委托项目)</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万元以下(含 50 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1.6%</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50-400万元(含400万元)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400-1000万元(含1000万元)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1000-5000万元(含5000万元)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0.8%</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5000-1亿元(含1亿元)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0.25%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1-10 亿元(含 10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0.05%</w:t>
            </w:r>
            <w:r/>
          </w:p>
        </w:tc>
      </w:tr>
      <w:tr>
        <w:trPr>
          <w:jc w:val="center"/>
        </w:trPr>
        <w:tc>
          <w:tcPr>
            <w:tcBorders>
              <w:top w:val="single" w:color="auto" w:sz="4" w:space="0"/>
              <w:left w:val="single" w:color="auto" w:sz="12" w:space="0"/>
              <w:bottom w:val="single" w:color="auto" w:sz="4"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10-50 亿元(含 50 亿元)</w:t>
            </w:r>
            <w:r/>
          </w:p>
        </w:tc>
        <w:tc>
          <w:tcPr>
            <w:tcBorders>
              <w:top w:val="single" w:color="auto" w:sz="4" w:space="0"/>
              <w:left w:val="single" w:color="auto" w:sz="4" w:space="0"/>
              <w:bottom w:val="single" w:color="auto" w:sz="4"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0.01%</w:t>
            </w:r>
            <w:r/>
          </w:p>
        </w:tc>
      </w:tr>
      <w:tr>
        <w:trPr>
          <w:jc w:val="center"/>
        </w:trPr>
        <w:tc>
          <w:tcPr>
            <w:tcBorders>
              <w:top w:val="single" w:color="auto" w:sz="4" w:space="0"/>
              <w:left w:val="single" w:color="auto" w:sz="12" w:space="0"/>
              <w:bottom w:val="single" w:color="auto" w:sz="12" w:space="0"/>
              <w:right w:val="single" w:color="auto" w:sz="4" w:space="0"/>
            </w:tcBorders>
            <w:tcW w:w="7764" w:type="dxa"/>
            <w:vAlign w:val="center"/>
            <w:textDirection w:val="lrTb"/>
            <w:noWrap w:val="false"/>
          </w:tcPr>
          <w:p>
            <w:pPr>
              <w:jc w:val="lef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50 亿元以上</w:t>
            </w:r>
            <w:r/>
          </w:p>
        </w:tc>
        <w:tc>
          <w:tcPr>
            <w:tcBorders>
              <w:top w:val="single" w:color="auto" w:sz="4" w:space="0"/>
              <w:left w:val="single" w:color="auto" w:sz="4" w:space="0"/>
              <w:bottom w:val="single" w:color="auto" w:sz="12" w:space="0"/>
              <w:right w:val="single" w:color="auto" w:sz="12" w:space="0"/>
            </w:tcBorders>
            <w:tcW w:w="2087" w:type="dxa"/>
            <w:vAlign w:val="center"/>
            <w:textDirection w:val="lrTb"/>
            <w:noWrap w:val="false"/>
          </w:tcPr>
          <w:p>
            <w:pPr>
              <w:jc w:val="righ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0.005%</w:t>
            </w:r>
            <w:r/>
          </w:p>
        </w:tc>
      </w:tr>
    </w:tbl>
    <w:p>
      <w:pPr>
        <w:pStyle w:val="734"/>
      </w:pPr>
      <w:r>
        <w:rPr>
          <w:rFonts w:hint="eastAsia" w:ascii="仿宋" w:hAnsi="仿宋" w:eastAsia="仿宋" w:cs="仿宋_GB2312"/>
          <w:szCs w:val="28"/>
        </w:rPr>
        <w:t xml:space="preserve">注:①按本表费率计算的收费为招标代理服务全过程的收费基准价格，不含工程量清单、招标工程最高投标限价(招标控制价)或工程标底的编制费用。</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②招标代理服务收费按差额定率分档累进法计算。</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③收费标准的计算基数为中标金额。根据项目实际需要分标段招标的，按各标段中标金额分别计算各标段招标代理服务费。</w:t>
      </w:r>
      <w:r/>
    </w:p>
    <w:p>
      <w:pPr>
        <w:pStyle w:val="695"/>
        <w:ind w:firstLine="259"/>
        <w:spacing w:line="360" w:lineRule="auto"/>
        <w:rPr>
          <w:rFonts w:ascii="仿宋" w:hAnsi="仿宋" w:eastAsia="仿宋" w:cs="仿宋"/>
          <w:sz w:val="28"/>
          <w:szCs w:val="28"/>
        </w:rPr>
      </w:pPr>
      <w:r>
        <w:rPr>
          <w:rFonts w:hint="eastAsia" w:ascii="仿宋" w:hAnsi="仿宋" w:eastAsia="仿宋" w:cs="仿宋"/>
          <w:sz w:val="28"/>
          <w:szCs w:val="28"/>
        </w:rPr>
        <w:t xml:space="preserve">④非招标代理机构原因产生处理异议或投诉案件，配合有关部门需现场勘验、调查取证所发生的差旅费用和专家咨询费由委托人承担。</w:t>
      </w:r>
      <w:r/>
    </w:p>
    <w:p>
      <w:pPr>
        <w:pStyle w:val="695"/>
        <w:spacing w:line="360" w:lineRule="auto"/>
        <w:rPr>
          <w:rFonts w:ascii="仿宋" w:hAnsi="仿宋" w:eastAsia="仿宋" w:cs="仿宋"/>
          <w:sz w:val="28"/>
          <w:szCs w:val="28"/>
        </w:rPr>
      </w:pPr>
      <w:r>
        <w:rPr>
          <w:rFonts w:ascii="仿宋" w:hAnsi="仿宋" w:eastAsia="仿宋" w:cs="仿宋"/>
          <w:sz w:val="28"/>
          <w:szCs w:val="28"/>
        </w:rPr>
      </w:r>
      <w:r/>
    </w:p>
    <w:p>
      <w:pPr>
        <w:pStyle w:val="695"/>
        <w:keepNext/>
        <w:pageBreakBefore/>
        <w:spacing w:line="360" w:lineRule="auto"/>
        <w:rPr>
          <w:rFonts w:ascii="仿宋" w:hAnsi="仿宋" w:eastAsia="仿宋" w:cs="仿宋"/>
          <w:sz w:val="28"/>
          <w:szCs w:val="28"/>
        </w:rPr>
      </w:pPr>
      <w:r>
        <w:rPr>
          <w:rFonts w:hint="eastAsia" w:ascii="仿宋" w:hAnsi="仿宋" w:eastAsia="仿宋" w:cs="仿宋"/>
          <w:sz w:val="28"/>
          <w:szCs w:val="28"/>
        </w:rPr>
        <w:t xml:space="preserve">附件二</w:t>
      </w:r>
      <w:r/>
    </w:p>
    <w:p>
      <w:pPr>
        <w:jc w:val="center"/>
        <w:spacing w:after="40"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质疑函范本</w:t>
      </w:r>
      <w:r/>
    </w:p>
    <w:p>
      <w:pPr>
        <w:spacing w:before="287" w:line="360" w:lineRule="auto"/>
        <w:rPr>
          <w:rFonts w:ascii="仿宋" w:hAnsi="仿宋" w:eastAsia="仿宋" w:cs="仿宋"/>
          <w:bCs/>
          <w:sz w:val="28"/>
          <w:szCs w:val="28"/>
        </w:rPr>
      </w:pPr>
      <w:r>
        <w:rPr>
          <w:rFonts w:hint="eastAsia" w:ascii="仿宋" w:hAnsi="仿宋" w:eastAsia="仿宋" w:cs="仿宋"/>
          <w:bCs/>
          <w:sz w:val="28"/>
          <w:szCs w:val="28"/>
        </w:rPr>
        <w:t xml:space="preserve">一、质疑投标人基本信息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质疑投标人：</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p>
    <w:p>
      <w:pPr>
        <w:rPr>
          <w:rFonts w:ascii="仿宋" w:hAnsi="仿宋" w:eastAsia="仿宋" w:cs="仿宋"/>
          <w:sz w:val="28"/>
          <w:szCs w:val="28"/>
        </w:rPr>
      </w:pPr>
      <w:r>
        <w:rPr>
          <w:rFonts w:hint="eastAsia" w:ascii="仿宋" w:hAnsi="仿宋" w:eastAsia="仿宋" w:cs="仿宋"/>
          <w:sz w:val="28"/>
          <w:szCs w:val="28"/>
        </w:rPr>
        <w:t xml:space="preserve">签字(签章)：                   公章：                      </w:t>
      </w:r>
      <w:r/>
    </w:p>
    <w:p>
      <w:pPr>
        <w:rPr>
          <w:rFonts w:ascii="仿宋" w:hAnsi="仿宋" w:eastAsia="仿宋" w:cs="仿宋"/>
          <w:sz w:val="28"/>
          <w:szCs w:val="28"/>
        </w:rPr>
      </w:pPr>
      <w:r>
        <w:rPr>
          <w:rFonts w:hint="eastAsia" w:ascii="仿宋" w:hAnsi="仿宋" w:eastAsia="仿宋" w:cs="仿宋"/>
          <w:sz w:val="28"/>
          <w:szCs w:val="28"/>
        </w:rPr>
        <w:t xml:space="preserve">日期：    </w:t>
      </w:r>
      <w:r/>
    </w:p>
    <w:p>
      <w:pPr>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1.投标人提出质疑时，应提交质疑函和必要的证明材料。</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3.质疑投标人若对项目的某一分包进行质疑，质疑函中应列明具体分包号。</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widowControl/>
        <w:rPr>
          <w:rFonts w:ascii="仿宋" w:hAnsi="仿宋" w:eastAsia="仿宋" w:cs="仿宋"/>
          <w:sz w:val="28"/>
          <w:szCs w:val="28"/>
        </w:rPr>
      </w:pPr>
      <w:r>
        <w:rPr>
          <w:rFonts w:hint="eastAsia" w:ascii="仿宋" w:hAnsi="仿宋" w:eastAsia="仿宋" w:cs="仿宋"/>
          <w:sz w:val="28"/>
          <w:szCs w:val="28"/>
        </w:rPr>
        <w:t xml:space="preserve">7.按该表格填写，一式两份，并将该函和相关证据盖公章在规定的时间内分别送达采购人和采购代理机构。</w:t>
      </w:r>
      <w:r/>
    </w:p>
    <w:p>
      <w:pPr>
        <w:rPr>
          <w:rFonts w:ascii="仿宋" w:hAnsi="仿宋" w:eastAsia="仿宋" w:cs="仿宋"/>
          <w:sz w:val="28"/>
          <w:szCs w:val="28"/>
        </w:rPr>
      </w:pPr>
      <w:r>
        <w:rPr>
          <w:rFonts w:hint="eastAsia" w:ascii="仿宋" w:hAnsi="仿宋" w:eastAsia="仿宋" w:cs="仿宋"/>
          <w:sz w:val="28"/>
          <w:szCs w:val="28"/>
        </w:rPr>
        <w:br w:type="page" w:clear="all"/>
      </w:r>
      <w:r/>
    </w:p>
    <w:p>
      <w:pPr>
        <w:pStyle w:val="695"/>
        <w:spacing w:line="360" w:lineRule="auto"/>
        <w:rPr>
          <w:rFonts w:cs="仿宋" w:asciiTheme="minorEastAsia" w:hAnsiTheme="minorEastAsia"/>
          <w:sz w:val="24"/>
        </w:rPr>
      </w:pPr>
      <w:r>
        <w:rPr>
          <w:rFonts w:cs="仿宋" w:asciiTheme="minorEastAsia" w:hAnsiTheme="minorEastAsia"/>
          <w:sz w:val="24"/>
        </w:rPr>
      </w:r>
      <w:r/>
    </w:p>
    <w:p>
      <w:pPr>
        <w:jc w:val="center"/>
        <w:spacing w:line="500" w:lineRule="exac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第四章评标标准</w:t>
      </w:r>
      <w:r/>
    </w:p>
    <w:p>
      <w:pPr>
        <w:ind w:firstLine="520"/>
        <w:spacing w:line="440" w:lineRule="exact"/>
        <w:rPr>
          <w:rFonts w:ascii="仿宋" w:hAnsi="仿宋" w:eastAsia="仿宋"/>
          <w:b/>
          <w:bCs/>
          <w:color w:val="000000"/>
          <w:sz w:val="28"/>
          <w:szCs w:val="28"/>
          <w:highlight w:val="none"/>
        </w:rPr>
      </w:pPr>
      <w:r>
        <w:rPr>
          <w:rFonts w:ascii="仿宋" w:hAnsi="仿宋" w:eastAsia="仿宋"/>
          <w:b/>
          <w:bCs/>
          <w:color w:val="000000"/>
          <w:sz w:val="28"/>
          <w:szCs w:val="28"/>
          <w:highlight w:val="none"/>
        </w:rPr>
      </w:r>
      <w:r/>
    </w:p>
    <w:p>
      <w:pPr>
        <w:ind w:firstLine="520"/>
        <w:spacing w:line="440" w:lineRule="exact"/>
        <w:rPr>
          <w:rFonts w:hint="eastAsia" w:ascii="仿宋" w:hAnsi="仿宋" w:eastAsia="仿宋"/>
          <w:b/>
          <w:bCs/>
          <w:color w:val="000000"/>
          <w:sz w:val="28"/>
          <w:szCs w:val="28"/>
          <w:highlight w:val="none"/>
          <w:lang w:eastAsia="zh-CN"/>
        </w:rPr>
      </w:pPr>
      <w:r>
        <w:rPr>
          <w:rFonts w:hint="eastAsia" w:ascii="仿宋" w:hAnsi="仿宋" w:eastAsia="仿宋"/>
          <w:b/>
          <w:bCs/>
          <w:color w:val="000000"/>
          <w:sz w:val="28"/>
          <w:szCs w:val="28"/>
          <w:highlight w:val="none"/>
        </w:rPr>
        <w:t xml:space="preserve">一、本项目为固定总价，报价分为0</w:t>
      </w:r>
      <w:r>
        <w:rPr>
          <w:rFonts w:hint="eastAsia" w:ascii="仿宋" w:hAnsi="仿宋" w:eastAsia="仿宋"/>
          <w:b/>
          <w:bCs/>
          <w:color w:val="000000"/>
          <w:sz w:val="28"/>
          <w:szCs w:val="28"/>
          <w:highlight w:val="yellow"/>
          <w:lang w:eastAsia="zh-CN"/>
        </w:rPr>
        <w:t xml:space="preserve">（</w:t>
      </w:r>
      <w:r>
        <w:rPr>
          <w:rFonts w:hint="eastAsia" w:ascii="仿宋" w:hAnsi="仿宋" w:eastAsia="仿宋"/>
          <w:b/>
          <w:bCs/>
          <w:color w:val="000000"/>
          <w:sz w:val="28"/>
          <w:szCs w:val="28"/>
          <w:highlight w:val="yellow"/>
          <w:lang w:val="en-US" w:eastAsia="zh-CN"/>
        </w:rPr>
        <w:t xml:space="preserve">统一按照两年标准报价</w:t>
      </w:r>
      <w:r>
        <w:rPr>
          <w:rFonts w:hint="eastAsia" w:ascii="仿宋" w:hAnsi="仿宋" w:eastAsia="仿宋"/>
          <w:b/>
          <w:bCs/>
          <w:color w:val="000000"/>
          <w:sz w:val="28"/>
          <w:szCs w:val="28"/>
          <w:highlight w:val="yellow"/>
          <w:lang w:eastAsia="zh-CN"/>
        </w:rPr>
        <w:t xml:space="preserve">）</w:t>
      </w:r>
      <w:r>
        <w:rPr>
          <w:rFonts w:hint="eastAsia" w:ascii="仿宋" w:hAnsi="仿宋" w:eastAsia="仿宋"/>
          <w:b/>
          <w:bCs/>
          <w:color w:val="000000"/>
          <w:sz w:val="28"/>
          <w:szCs w:val="28"/>
          <w:highlight w:val="none"/>
          <w:lang w:eastAsia="zh-CN"/>
        </w:rPr>
        <w:t xml:space="preserve">。</w:t>
      </w:r>
      <w:r/>
    </w:p>
    <w:p>
      <w:pPr>
        <w:pStyle w:val="734"/>
        <w:ind w:firstLine="520"/>
        <w:spacing w:line="440" w:lineRule="exact"/>
        <w:rPr>
          <w:rFonts w:ascii="仿宋" w:hAnsi="仿宋" w:eastAsia="仿宋"/>
          <w:b/>
          <w:bCs/>
          <w:color w:val="000000"/>
          <w:szCs w:val="28"/>
          <w:highlight w:val="none"/>
        </w:rPr>
      </w:pPr>
      <w:r>
        <w:rPr>
          <w:rFonts w:hint="eastAsia" w:ascii="仿宋" w:hAnsi="仿宋" w:eastAsia="仿宋"/>
          <w:b/>
          <w:bCs/>
          <w:color w:val="000000"/>
          <w:szCs w:val="28"/>
          <w:highlight w:val="none"/>
        </w:rPr>
        <w:t xml:space="preserve">二、企业综合实力F1（13分）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highlight w:val="none"/>
        </w:rPr>
        <w:t xml:space="preserve">1、业绩（6分）：投标人具有</w:t>
      </w:r>
      <w:r>
        <w:rPr>
          <w:rFonts w:hint="eastAsia" w:ascii="仿宋" w:hAnsi="仿宋" w:eastAsia="仿宋"/>
          <w:b/>
          <w:bCs/>
          <w:color w:val="000000"/>
          <w:szCs w:val="28"/>
        </w:rPr>
        <w:t xml:space="preserve">居家上门服务或养老服务项目业绩的，每有一个合同扫描件并加盖电子公章，得2分，最高得6分</w:t>
      </w:r>
      <w:r/>
    </w:p>
    <w:p>
      <w:pPr>
        <w:pStyle w:val="734"/>
        <w:ind w:firstLine="520"/>
        <w:spacing w:line="440" w:lineRule="exact"/>
        <w:rPr>
          <w:rFonts w:hint="eastAsia" w:ascii="仿宋" w:hAnsi="仿宋" w:eastAsia="仿宋"/>
          <w:b/>
          <w:bCs/>
          <w:color w:val="000000"/>
          <w:szCs w:val="28"/>
          <w:highlight w:val="none"/>
        </w:rPr>
      </w:pPr>
      <w:r>
        <w:rPr>
          <w:rFonts w:hint="eastAsia" w:ascii="仿宋" w:hAnsi="仿宋" w:eastAsia="仿宋"/>
          <w:b/>
          <w:bCs/>
          <w:color w:val="000000"/>
          <w:szCs w:val="28"/>
        </w:rPr>
        <w:t xml:space="preserve">2、合作协议（3分）：投标人与医疗机构签订合作协议，每提供一个合作协议扫描件</w:t>
      </w:r>
      <w:r>
        <w:rPr>
          <w:rFonts w:hint="eastAsia" w:ascii="仿宋" w:hAnsi="仿宋" w:eastAsia="仿宋"/>
          <w:b/>
          <w:bCs/>
          <w:color w:val="000000"/>
          <w:szCs w:val="28"/>
          <w:highlight w:val="none"/>
        </w:rPr>
        <w:t xml:space="preserve">并加盖电子公章，得1分，最高得3分。</w:t>
      </w:r>
      <w:r/>
    </w:p>
    <w:p>
      <w:pPr>
        <w:pStyle w:val="734"/>
        <w:ind w:firstLine="520"/>
        <w:spacing w:line="440" w:lineRule="exact"/>
        <w:rPr>
          <w:rFonts w:hint="eastAsia" w:ascii="仿宋" w:hAnsi="仿宋" w:eastAsia="仿宋"/>
          <w:b/>
          <w:bCs/>
          <w:color w:val="000000"/>
          <w:szCs w:val="28"/>
          <w:highlight w:val="none"/>
          <w:lang w:eastAsia="zh-CN"/>
        </w:rPr>
      </w:pPr>
      <w:r>
        <w:rPr>
          <w:rFonts w:hint="eastAsia" w:ascii="仿宋" w:hAnsi="仿宋" w:eastAsia="仿宋"/>
          <w:b/>
          <w:bCs/>
          <w:color w:val="000000"/>
          <w:szCs w:val="28"/>
          <w:highlight w:val="none"/>
        </w:rPr>
        <w:t xml:space="preserve">3、体系认证（4分）：①质量管理体系认证；②环境管理体系认证；③职业健康安全管理体系认证；④</w:t>
      </w:r>
      <w:r>
        <w:rPr>
          <w:rFonts w:hint="eastAsia" w:ascii="仿宋" w:hAnsi="仿宋" w:eastAsia="仿宋"/>
          <w:b/>
          <w:bCs/>
          <w:color w:val="000000"/>
          <w:szCs w:val="28"/>
          <w:highlight w:val="none"/>
          <w:lang w:val="en-US" w:eastAsia="zh-CN"/>
        </w:rPr>
        <w:t xml:space="preserve">社会福利之养老服务认证</w:t>
      </w:r>
      <w:r>
        <w:rPr>
          <w:rFonts w:hint="eastAsia" w:ascii="仿宋" w:hAnsi="仿宋" w:eastAsia="仿宋"/>
          <w:b/>
          <w:bCs/>
          <w:color w:val="000000"/>
          <w:szCs w:val="28"/>
          <w:highlight w:val="none"/>
          <w:lang w:eastAsia="zh-CN"/>
        </w:rPr>
        <w:t xml:space="preserve">。</w:t>
      </w:r>
      <w:r/>
    </w:p>
    <w:p>
      <w:pPr>
        <w:pStyle w:val="734"/>
        <w:ind w:firstLine="520"/>
        <w:spacing w:line="440" w:lineRule="exact"/>
        <w:rPr>
          <w:rFonts w:hint="eastAsia" w:ascii="仿宋" w:hAnsi="仿宋" w:eastAsia="仿宋"/>
          <w:b/>
          <w:bCs/>
          <w:color w:val="000000"/>
          <w:szCs w:val="28"/>
          <w:highlight w:val="none"/>
          <w:lang w:val="en-US" w:eastAsia="zh-CN"/>
        </w:rPr>
      </w:pPr>
      <w:r>
        <w:rPr>
          <w:rFonts w:hint="eastAsia" w:ascii="仿宋" w:hAnsi="仿宋" w:eastAsia="仿宋"/>
          <w:b/>
          <w:bCs/>
          <w:color w:val="000000"/>
          <w:szCs w:val="28"/>
          <w:highlight w:val="none"/>
          <w:lang w:val="en-US" w:eastAsia="zh-CN"/>
        </w:rPr>
        <w:t xml:space="preserve">以上所有证书，供应商需提供证书扫描件，认证证书须在全国认证认可信息公共服务平台网站可查询，提供证书有效的查询截图。</w:t>
      </w:r>
      <w:r/>
    </w:p>
    <w:p>
      <w:pPr>
        <w:pStyle w:val="734"/>
        <w:ind w:firstLine="520"/>
        <w:spacing w:line="440" w:lineRule="exact"/>
        <w:rPr>
          <w:rFonts w:hint="eastAsia" w:ascii="仿宋" w:hAnsi="仿宋" w:eastAsia="仿宋"/>
          <w:b/>
          <w:bCs/>
          <w:color w:val="000000"/>
          <w:szCs w:val="28"/>
          <w:highlight w:val="none"/>
          <w:lang w:val="en-US" w:eastAsia="zh-CN"/>
        </w:rPr>
      </w:pPr>
      <w:r>
        <w:rPr>
          <w:rFonts w:hint="eastAsia" w:ascii="仿宋" w:hAnsi="仿宋" w:eastAsia="仿宋"/>
          <w:b/>
          <w:bCs/>
          <w:color w:val="000000"/>
          <w:szCs w:val="28"/>
          <w:highlight w:val="none"/>
          <w:lang w:val="en-US" w:eastAsia="zh-CN"/>
        </w:rPr>
        <w:t xml:space="preserve">网址：</w:t>
      </w:r>
      <w:r>
        <w:rPr>
          <w:rFonts w:hint="eastAsia" w:ascii="仿宋" w:hAnsi="仿宋" w:eastAsia="仿宋"/>
          <w:b/>
          <w:bCs/>
          <w:color w:val="000000"/>
          <w:szCs w:val="28"/>
          <w:highlight w:val="none"/>
          <w:lang w:val="en-US" w:eastAsia="zh-CN"/>
        </w:rPr>
        <w:fldChar w:fldCharType="begin"/>
      </w:r>
      <w:r>
        <w:rPr>
          <w:rFonts w:hint="eastAsia" w:ascii="仿宋" w:hAnsi="仿宋" w:eastAsia="仿宋"/>
          <w:b/>
          <w:bCs/>
          <w:color w:val="000000"/>
          <w:szCs w:val="28"/>
          <w:highlight w:val="none"/>
          <w:lang w:val="en-US" w:eastAsia="zh-CN"/>
        </w:rPr>
        <w:instrText xml:space="preserve"> HYPERLINK "http://cx.cnca.cn/CertECloud/index/index/page" </w:instrText>
      </w:r>
      <w:r>
        <w:rPr>
          <w:rFonts w:hint="eastAsia" w:ascii="仿宋" w:hAnsi="仿宋" w:eastAsia="仿宋"/>
          <w:b/>
          <w:bCs/>
          <w:color w:val="000000"/>
          <w:szCs w:val="28"/>
          <w:highlight w:val="none"/>
          <w:lang w:val="en-US" w:eastAsia="zh-CN"/>
        </w:rPr>
        <w:fldChar w:fldCharType="separate"/>
      </w:r>
      <w:r>
        <w:rPr>
          <w:rStyle w:val="730"/>
          <w:rFonts w:hint="eastAsia" w:ascii="仿宋" w:hAnsi="仿宋" w:eastAsia="仿宋"/>
          <w:b/>
          <w:bCs/>
          <w:szCs w:val="28"/>
          <w:highlight w:val="none"/>
          <w:lang w:val="en-US" w:eastAsia="zh-CN"/>
        </w:rPr>
        <w:t xml:space="preserve">http://cx.cnca.cn/CertECloud/index/index/page</w:t>
      </w:r>
      <w:r>
        <w:rPr>
          <w:rFonts w:hint="eastAsia" w:ascii="仿宋" w:hAnsi="仿宋" w:eastAsia="仿宋"/>
          <w:b/>
          <w:bCs/>
          <w:color w:val="000000"/>
          <w:szCs w:val="28"/>
          <w:highlight w:val="none"/>
          <w:lang w:val="en-US" w:eastAsia="zh-CN"/>
        </w:rPr>
        <w:fldChar w:fldCharType="end"/>
      </w:r>
      <w:r/>
    </w:p>
    <w:p>
      <w:pPr>
        <w:pStyle w:val="734"/>
        <w:ind w:firstLine="520"/>
        <w:spacing w:line="440" w:lineRule="exact"/>
        <w:rPr>
          <w:rFonts w:hint="eastAsia" w:ascii="仿宋" w:hAnsi="仿宋" w:eastAsia="仿宋"/>
          <w:b/>
          <w:bCs/>
          <w:color w:val="000000"/>
          <w:szCs w:val="28"/>
          <w:highlight w:val="none"/>
        </w:rPr>
      </w:pPr>
      <w:r>
        <w:rPr>
          <w:rFonts w:hint="eastAsia" w:ascii="仿宋" w:hAnsi="仿宋" w:eastAsia="仿宋"/>
          <w:b/>
          <w:bCs/>
          <w:color w:val="000000"/>
          <w:szCs w:val="28"/>
          <w:highlight w:val="none"/>
          <w:lang w:val="en-US" w:eastAsia="zh-CN"/>
        </w:rPr>
        <w:t xml:space="preserve">每提供一个证书扫描件及查询截图</w:t>
      </w:r>
      <w:r>
        <w:rPr>
          <w:rFonts w:hint="eastAsia" w:ascii="仿宋" w:hAnsi="仿宋" w:eastAsia="仿宋"/>
          <w:b/>
          <w:bCs/>
          <w:color w:val="000000"/>
          <w:szCs w:val="28"/>
          <w:highlight w:val="none"/>
        </w:rPr>
        <w:t xml:space="preserve">得1分，最高得4分</w:t>
      </w:r>
      <w:r>
        <w:rPr>
          <w:rFonts w:hint="eastAsia" w:ascii="仿宋" w:hAnsi="仿宋" w:eastAsia="仿宋"/>
          <w:b/>
          <w:bCs/>
          <w:color w:val="000000"/>
          <w:szCs w:val="28"/>
          <w:highlight w:val="none"/>
          <w:lang w:val="en-US" w:eastAsia="zh-CN"/>
        </w:rPr>
        <w:t xml:space="preserve">，未提供的不得分</w:t>
      </w:r>
      <w:r>
        <w:rPr>
          <w:rFonts w:hint="eastAsia" w:ascii="仿宋" w:hAnsi="仿宋" w:eastAsia="仿宋"/>
          <w:b/>
          <w:bCs/>
          <w:color w:val="000000"/>
          <w:szCs w:val="28"/>
          <w:highlight w:val="none"/>
        </w:rPr>
        <w:t xml:space="preserve">。</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三、质量技术要求F2（</w:t>
      </w:r>
      <w:r>
        <w:rPr>
          <w:rFonts w:hint="eastAsia" w:ascii="仿宋" w:hAnsi="仿宋" w:eastAsia="仿宋"/>
          <w:b/>
          <w:bCs/>
          <w:color w:val="000000"/>
          <w:szCs w:val="28"/>
          <w:lang w:val="en-US" w:eastAsia="zh-CN"/>
        </w:rPr>
        <w:t xml:space="preserve">62</w:t>
      </w:r>
      <w:r>
        <w:rPr>
          <w:rFonts w:hint="eastAsia" w:ascii="仿宋" w:hAnsi="仿宋" w:eastAsia="仿宋"/>
          <w:b/>
          <w:bCs/>
          <w:color w:val="000000"/>
          <w:szCs w:val="28"/>
        </w:rPr>
        <w:t xml:space="preserve">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1、实施方案（16分）：投标供应商应根据招标文件要求制定实施方案，提供根据服务内容和不同类型的老人实际情况等制定的居家养老上门服务实施方案，由招标小组进行评审，优得16分，良得12分，差得8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2、服务方案（16分）投标供应商应根据招标文件要求制定服务方案，提升精准服务水平，制定不同类型老人慰问关爱和公益服务方案，由招标小组进行评审，优得16分，良得12分，差得8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3、常态化运营（1</w:t>
      </w:r>
      <w:r>
        <w:rPr>
          <w:rFonts w:hint="eastAsia" w:ascii="仿宋" w:hAnsi="仿宋" w:eastAsia="仿宋"/>
          <w:b/>
          <w:bCs/>
          <w:color w:val="000000"/>
          <w:szCs w:val="28"/>
          <w:lang w:val="en-US" w:eastAsia="zh-CN"/>
        </w:rPr>
        <w:t xml:space="preserve">6</w:t>
      </w:r>
      <w:r>
        <w:rPr>
          <w:rFonts w:hint="eastAsia" w:ascii="仿宋" w:hAnsi="仿宋" w:eastAsia="仿宋"/>
          <w:b/>
          <w:bCs/>
          <w:color w:val="000000"/>
          <w:szCs w:val="28"/>
        </w:rPr>
        <w:t xml:space="preserve">分）：投标供应商应根据招标文件要求制定常态化运营，提供居家养老服务中心常态化运营实施方案，由招标小组进行评审，优得1</w:t>
      </w:r>
      <w:r>
        <w:rPr>
          <w:rFonts w:hint="eastAsia" w:ascii="仿宋" w:hAnsi="仿宋" w:eastAsia="仿宋"/>
          <w:b/>
          <w:bCs/>
          <w:color w:val="000000"/>
          <w:szCs w:val="28"/>
          <w:lang w:val="en-US" w:eastAsia="zh-CN"/>
        </w:rPr>
        <w:t xml:space="preserve">6</w:t>
      </w:r>
      <w:r>
        <w:rPr>
          <w:rFonts w:hint="eastAsia" w:ascii="仿宋" w:hAnsi="仿宋" w:eastAsia="仿宋"/>
          <w:b/>
          <w:bCs/>
          <w:color w:val="000000"/>
          <w:szCs w:val="28"/>
        </w:rPr>
        <w:t xml:space="preserve">分，良得</w:t>
      </w:r>
      <w:r>
        <w:rPr>
          <w:rFonts w:hint="eastAsia" w:ascii="仿宋" w:hAnsi="仿宋" w:eastAsia="仿宋"/>
          <w:b/>
          <w:bCs/>
          <w:color w:val="000000"/>
          <w:szCs w:val="28"/>
          <w:lang w:val="en-US" w:eastAsia="zh-CN"/>
        </w:rPr>
        <w:t xml:space="preserve">12</w:t>
      </w:r>
      <w:r>
        <w:rPr>
          <w:rFonts w:hint="eastAsia" w:ascii="仿宋" w:hAnsi="仿宋" w:eastAsia="仿宋"/>
          <w:b/>
          <w:bCs/>
          <w:color w:val="000000"/>
          <w:szCs w:val="28"/>
        </w:rPr>
        <w:t xml:space="preserve">分，差得</w:t>
      </w:r>
      <w:r>
        <w:rPr>
          <w:rFonts w:hint="eastAsia" w:ascii="仿宋" w:hAnsi="仿宋" w:eastAsia="仿宋"/>
          <w:b/>
          <w:bCs/>
          <w:color w:val="000000"/>
          <w:szCs w:val="28"/>
          <w:lang w:val="en-US" w:eastAsia="zh-CN"/>
        </w:rPr>
        <w:t xml:space="preserve">8</w:t>
      </w:r>
      <w:r>
        <w:rPr>
          <w:rFonts w:hint="eastAsia" w:ascii="仿宋" w:hAnsi="仿宋" w:eastAsia="仿宋"/>
          <w:b/>
          <w:bCs/>
          <w:color w:val="000000"/>
          <w:szCs w:val="28"/>
        </w:rPr>
        <w:t xml:space="preserve">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4、团队管理（14分）：投标供应商应根据招标文件要求对制定团队管理，提供项目实施中团队管理、风险防范等管理方案，由招标小组进行评审，优得14分，良得10分，差得6分，不符合招标文件要求或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四、人员F3（</w:t>
      </w:r>
      <w:r>
        <w:rPr>
          <w:rFonts w:hint="eastAsia" w:ascii="仿宋" w:hAnsi="仿宋" w:eastAsia="仿宋"/>
          <w:b/>
          <w:bCs/>
          <w:color w:val="000000"/>
          <w:szCs w:val="28"/>
          <w:lang w:val="en-US" w:eastAsia="zh-CN"/>
        </w:rPr>
        <w:t xml:space="preserve">20</w:t>
      </w:r>
      <w:r>
        <w:rPr>
          <w:rFonts w:hint="eastAsia" w:ascii="仿宋" w:hAnsi="仿宋" w:eastAsia="仿宋"/>
          <w:b/>
          <w:bCs/>
          <w:color w:val="000000"/>
          <w:szCs w:val="28"/>
        </w:rPr>
        <w:t xml:space="preserve">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1、投标供应商每提供</w:t>
      </w:r>
      <w:r>
        <w:rPr>
          <w:rFonts w:hint="eastAsia" w:ascii="仿宋" w:hAnsi="仿宋" w:eastAsia="仿宋"/>
          <w:b/>
          <w:bCs/>
          <w:color w:val="000000"/>
          <w:szCs w:val="28"/>
          <w:lang w:val="en-US" w:eastAsia="zh-CN"/>
        </w:rPr>
        <w:t xml:space="preserve">2</w:t>
      </w:r>
      <w:r>
        <w:rPr>
          <w:rFonts w:hint="eastAsia" w:ascii="仿宋" w:hAnsi="仿宋" w:eastAsia="仿宋"/>
          <w:b/>
          <w:bCs/>
          <w:color w:val="000000"/>
          <w:szCs w:val="28"/>
        </w:rPr>
        <w:t xml:space="preserve">个养老护理员证扫描件并加盖电子公章，得1分，最高得</w:t>
      </w:r>
      <w:r>
        <w:rPr>
          <w:rFonts w:hint="eastAsia" w:ascii="仿宋" w:hAnsi="仿宋" w:eastAsia="仿宋"/>
          <w:b/>
          <w:bCs/>
          <w:color w:val="000000"/>
          <w:szCs w:val="28"/>
          <w:lang w:val="en-US" w:eastAsia="zh-CN"/>
        </w:rPr>
        <w:t xml:space="preserve">10</w:t>
      </w:r>
      <w:r>
        <w:rPr>
          <w:rFonts w:hint="eastAsia" w:ascii="仿宋" w:hAnsi="仿宋" w:eastAsia="仿宋"/>
          <w:b/>
          <w:bCs/>
          <w:color w:val="000000"/>
          <w:szCs w:val="28"/>
        </w:rPr>
        <w:t xml:space="preserve">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2、投标供应商提供1名专业医生并拥有执业医师证书扫描件并加盖电子公章，得2分，未提供的不得分。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3、投标供应商每提供1名护士并拥有护理人员资格证书扫描件并加盖电子公章，得1分，最高得4分，未提供的不得分。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4、投标供应商每提供1名具有美发从业资格工作人员的资格证书扫描件并加盖电子公章，得1分，最高得最高得2分，未提供的不得分。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5、投标供应商每提供1名电工师证书或水电维修从业资格工作人员的资格证书扫描件并加盖电子公章，得1分，最高得2分，未提供的不得分。</w:t>
      </w:r>
      <w:r/>
    </w:p>
    <w:p>
      <w:pPr>
        <w:pStyle w:val="734"/>
        <w:ind w:firstLine="520"/>
        <w:spacing w:line="440" w:lineRule="exact"/>
        <w:rPr>
          <w:rFonts w:hint="eastAsia"/>
          <w:lang w:eastAsia="zh-CN"/>
        </w:rPr>
      </w:pPr>
      <w:r>
        <w:rPr>
          <w:rFonts w:hint="eastAsia" w:ascii="仿宋_GB2312" w:hAnsi="宋体" w:eastAsia="仿宋_GB2312"/>
          <w:b/>
          <w:bCs/>
          <w:color w:val="ff0000"/>
          <w:szCs w:val="28"/>
          <w:u w:val="single"/>
        </w:rPr>
        <w:t xml:space="preserve">（供应商需同以上人员签订最少1年</w:t>
      </w:r>
      <w:r>
        <w:rPr>
          <w:rFonts w:hint="eastAsia" w:ascii="仿宋_GB2312" w:hAnsi="宋体" w:eastAsia="仿宋_GB2312"/>
          <w:b/>
          <w:bCs/>
          <w:color w:val="ff0000"/>
          <w:szCs w:val="28"/>
          <w:u w:val="single"/>
          <w:lang w:val="en-US" w:eastAsia="zh-CN"/>
        </w:rPr>
        <w:t xml:space="preserve">劳务或临时协议，所签期限应至少包含投标截止之日起往后的一年，即包含2026年5月11日至2027年5月11日</w:t>
      </w:r>
      <w:r>
        <w:rPr>
          <w:rFonts w:hint="eastAsia" w:ascii="仿宋_GB2312" w:hAnsi="宋体" w:eastAsia="仿宋_GB2312"/>
          <w:b/>
          <w:bCs/>
          <w:color w:val="ff0000"/>
          <w:szCs w:val="28"/>
          <w:u w:val="single"/>
        </w:rPr>
        <w:t xml:space="preserve">）</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五、资金让利F4（5分）</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投标人根据招标文件规定的项目管理费不高于工单费的15%基础上，项目管理费让利养老服务公益基金，用于特殊服务对象个性化需求公益服务，项目管理费中让利7%得5分，让利6%得4分，让利5%得3分，让利4%得2分，让利3%得1分。并由投标人签订承诺书加盖公章和法人签字，且在合同中履行。</w:t>
      </w:r>
      <w:r/>
    </w:p>
    <w:p>
      <w:pPr>
        <w:pStyle w:val="734"/>
        <w:ind w:firstLine="520"/>
        <w:spacing w:line="440" w:lineRule="exact"/>
        <w:rPr>
          <w:rFonts w:ascii="仿宋" w:hAnsi="仿宋" w:eastAsia="仿宋"/>
          <w:b/>
          <w:bCs/>
          <w:color w:val="000000"/>
          <w:szCs w:val="28"/>
        </w:rPr>
      </w:pPr>
      <w:r>
        <w:rPr>
          <w:rFonts w:hint="eastAsia" w:ascii="仿宋" w:hAnsi="仿宋" w:eastAsia="仿宋"/>
          <w:b/>
          <w:bCs/>
          <w:color w:val="000000"/>
          <w:szCs w:val="28"/>
        </w:rPr>
        <w:t xml:space="preserve">综合得分＝F1+F2+F3+F4</w:t>
      </w:r>
      <w:r/>
    </w:p>
    <w:p>
      <w:pPr>
        <w:pStyle w:val="687"/>
      </w:pPr>
      <w:r/>
      <w:r/>
    </w:p>
    <w:p>
      <w:pPr>
        <w:ind w:firstLine="518"/>
        <w:rPr>
          <w:rFonts w:ascii="仿宋" w:hAnsi="仿宋" w:eastAsia="仿宋" w:cs="仿宋"/>
          <w:sz w:val="28"/>
          <w:szCs w:val="28"/>
        </w:rPr>
      </w:pPr>
      <w:r>
        <w:rPr>
          <w:rFonts w:hint="eastAsia" w:ascii="仿宋" w:hAnsi="仿宋" w:eastAsia="仿宋" w:cs="仿宋"/>
          <w:sz w:val="28"/>
          <w:szCs w:val="28"/>
          <w:lang w:bidi="ar"/>
        </w:rPr>
        <w:t xml:space="preserve">声明：当出现损害国家和采购人利益情况时，采购人、江苏久格有选择或拒绝任何投标人的权力，并对所采取的行为不主动说明原因。</w:t>
      </w:r>
      <w:r/>
    </w:p>
    <w:p>
      <w:pPr>
        <w:rPr>
          <w:rFonts w:ascii="仿宋" w:hAnsi="仿宋" w:eastAsia="仿宋" w:cs="仿宋"/>
          <w:sz w:val="24"/>
        </w:rPr>
      </w:pPr>
      <w:r>
        <w:rPr>
          <w:rFonts w:ascii="仿宋" w:hAnsi="仿宋" w:eastAsia="仿宋" w:cs="仿宋"/>
          <w:sz w:val="24"/>
        </w:rPr>
        <w:br w:type="page" w:clear="all"/>
      </w:r>
      <w:r/>
    </w:p>
    <w:p>
      <w:pPr>
        <w:pStyle w:val="734"/>
      </w:pPr>
      <w:r/>
      <w:r/>
    </w:p>
    <w:p>
      <w:pPr>
        <w:jc w:val="center"/>
        <w:spacing w:line="500" w:lineRule="exact"/>
        <w:rPr>
          <w:rFonts w:ascii="黑体" w:hAnsi="Century Schoolbook" w:eastAsia="黑体"/>
          <w:color w:val="000000"/>
          <w:spacing w:val="-4"/>
          <w:sz w:val="36"/>
          <w:szCs w:val="20"/>
        </w:rPr>
        <w:pBdr>
          <w:top w:val="none" w:color="000000" w:sz="0" w:space="0"/>
          <w:left w:val="none" w:color="000000" w:sz="0" w:space="0"/>
          <w:bottom w:val="none" w:color="000000" w:sz="0" w:space="0"/>
          <w:right w:val="none" w:color="000000" w:sz="0" w:space="0"/>
        </w:pBdr>
      </w:pPr>
      <w:r>
        <w:rPr>
          <w:rFonts w:hint="eastAsia" w:ascii="黑体" w:hAnsi="Century Schoolbook" w:eastAsia="黑体"/>
          <w:color w:val="000000"/>
          <w:spacing w:val="-4"/>
          <w:sz w:val="36"/>
          <w:szCs w:val="20"/>
        </w:rPr>
        <w:t xml:space="preserve">第五章拟签订的合同文本</w:t>
      </w:r>
      <w:r/>
    </w:p>
    <w:p>
      <w:pPr>
        <w:rPr>
          <w:rFonts w:cs="仿宋" w:asciiTheme="minorEastAsia" w:hAnsiTheme="minorEastAsia"/>
          <w:b/>
          <w:bCs/>
          <w:sz w:val="84"/>
          <w:szCs w:val="84"/>
        </w:rPr>
      </w:pPr>
      <w:r>
        <w:rPr>
          <w:rFonts w:cs="仿宋" w:asciiTheme="minorEastAsia" w:hAnsiTheme="minorEastAsia"/>
          <w:b/>
          <w:bCs/>
          <w:sz w:val="84"/>
          <w:szCs w:val="84"/>
        </w:rPr>
      </w:r>
      <w:r/>
    </w:p>
    <w:p>
      <w:pPr>
        <w:jc w:val="center"/>
        <w:rPr>
          <w:rFonts w:cs="仿宋" w:asciiTheme="minorEastAsia" w:hAnsiTheme="minorEastAsia"/>
          <w:b/>
          <w:bCs/>
          <w:sz w:val="84"/>
          <w:szCs w:val="84"/>
        </w:rPr>
      </w:pPr>
      <w:r>
        <w:rPr>
          <w:rFonts w:hint="eastAsia" w:cs="仿宋" w:asciiTheme="minorEastAsia" w:hAnsiTheme="minorEastAsia"/>
          <w:b/>
          <w:bCs/>
          <w:sz w:val="84"/>
          <w:szCs w:val="84"/>
        </w:rPr>
        <w:t xml:space="preserve">政府采购合同</w:t>
      </w:r>
      <w:r/>
    </w:p>
    <w:p>
      <w:pPr>
        <w:jc w:val="center"/>
        <w:rPr>
          <w:rFonts w:cs="仿宋" w:asciiTheme="minorEastAsia" w:hAnsiTheme="minorEastAsia"/>
          <w:b/>
          <w:bCs/>
          <w:sz w:val="84"/>
          <w:szCs w:val="84"/>
        </w:rPr>
      </w:pPr>
      <w:r>
        <w:rPr>
          <w:rFonts w:cs="仿宋" w:asciiTheme="minorEastAsia" w:hAnsiTheme="minorEastAsia"/>
          <w:b/>
          <w:bCs/>
          <w:sz w:val="84"/>
          <w:szCs w:val="8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（服务类）</w:t>
      </w:r>
      <w:r/>
    </w:p>
    <w:p>
      <w:pPr>
        <w:pStyle w:val="697"/>
        <w:ind w:left="0"/>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ind w:left="0"/>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ind w:left="0"/>
        <w:jc w:val="center"/>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第一部分 合同书</w:t>
      </w:r>
      <w:r/>
    </w:p>
    <w:p>
      <w:pPr>
        <w:pStyle w:val="697"/>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pStyle w:val="697"/>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u w:val="single"/>
        </w:rPr>
        <w:t xml:space="preserve">                                             </w:t>
      </w:r>
      <w:r/>
    </w:p>
    <w:p>
      <w:pPr>
        <w:pStyle w:val="697"/>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u w:val="single"/>
        </w:rPr>
        <w:t xml:space="preserve">                                             </w:t>
      </w:r>
      <w:r/>
    </w:p>
    <w:p>
      <w:pPr>
        <w:pStyle w:val="697"/>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甲方（采购人）：</w:t>
      </w:r>
      <w:r>
        <w:rPr>
          <w:rFonts w:hint="eastAsia" w:asciiTheme="minorEastAsia" w:hAnsiTheme="minorEastAsia" w:eastAsiaTheme="minorEastAsia"/>
          <w:sz w:val="24"/>
          <w:szCs w:val="24"/>
          <w:u w:val="single"/>
        </w:rPr>
        <w:t xml:space="preserve">                                       </w:t>
      </w:r>
      <w:r/>
    </w:p>
    <w:p>
      <w:pPr>
        <w:pStyle w:val="697"/>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乙方（成交供应商）：</w:t>
      </w:r>
      <w:r>
        <w:rPr>
          <w:rFonts w:hint="eastAsia" w:asciiTheme="minorEastAsia" w:hAnsiTheme="minorEastAsia" w:eastAsiaTheme="minorEastAsia"/>
          <w:sz w:val="24"/>
          <w:szCs w:val="24"/>
          <w:u w:val="single"/>
        </w:rPr>
        <w:t xml:space="preserve">                                   </w:t>
      </w:r>
      <w:r/>
    </w:p>
    <w:p>
      <w:pPr>
        <w:pStyle w:val="697"/>
        <w:spacing w:line="360" w:lineRule="auto"/>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签订地：</w:t>
      </w:r>
      <w:r>
        <w:rPr>
          <w:rFonts w:hint="eastAsia" w:asciiTheme="minorEastAsia" w:hAnsiTheme="minorEastAsia" w:eastAsiaTheme="minorEastAsia"/>
          <w:sz w:val="24"/>
          <w:szCs w:val="24"/>
          <w:u w:val="single"/>
        </w:rPr>
        <w:t xml:space="preserve">                                               </w:t>
      </w:r>
      <w:r/>
    </w:p>
    <w:p>
      <w:pPr>
        <w:pStyle w:val="697"/>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签订日期：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spacing w:line="520" w:lineRule="exact"/>
        <w:rPr>
          <w:rFonts w:asciiTheme="minorEastAsia" w:hAnsiTheme="minorEastAsia" w:eastAsiaTheme="minorEastAsia"/>
          <w:sz w:val="24"/>
        </w:rPr>
      </w:pPr>
      <w:r>
        <w:rPr>
          <w:rFonts w:hint="eastAsia" w:asciiTheme="minorEastAsia" w:hAnsiTheme="minorEastAsia" w:eastAsiaTheme="minorEastAsia"/>
          <w:sz w:val="24"/>
        </w:rPr>
        <w:br w:type="page" w:clear="all"/>
      </w:r>
      <w:r/>
    </w:p>
    <w:p>
      <w:pPr>
        <w:ind w:firstLine="560"/>
        <w:spacing w:line="520" w:lineRule="exact"/>
        <w:rPr>
          <w:rFonts w:ascii="仿宋" w:hAnsi="仿宋" w:eastAsia="仿宋" w:cs="仿宋"/>
          <w:color w:val="000000"/>
          <w:sz w:val="28"/>
          <w:szCs w:val="28"/>
        </w:rPr>
      </w:pPr>
      <w:r>
        <w:rPr>
          <w:rFonts w:hint="eastAsia" w:ascii="仿宋" w:hAnsi="仿宋" w:eastAsia="仿宋" w:cs="仿宋"/>
          <w:bCs/>
          <w:sz w:val="28"/>
          <w:szCs w:val="28"/>
        </w:rPr>
        <w:t xml:space="preserve">采</w:t>
      </w:r>
      <w:r>
        <w:rPr>
          <w:rFonts w:hint="eastAsia" w:ascii="仿宋" w:hAnsi="仿宋" w:eastAsia="仿宋" w:cs="仿宋"/>
          <w:color w:val="000000"/>
          <w:sz w:val="28"/>
          <w:szCs w:val="28"/>
        </w:rPr>
        <w:t xml:space="preserve">购单位（全称）：                              （以下简称甲方）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 应 商（全称）：                              （以下简称乙方）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依照《政府采购法》、《合同法》及其他有关法律、行政法规，遵循平等、自愿、公平和诚实信用的原则，双方就             号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项目相关事项协商一致，达成如下合同条款：</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一、合同金额</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合同金额为（大写）：_________________元（￥_______________元）人民币。</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甲方聘请乙方提供以下服务：</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1、</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2、</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3、</w:t>
      </w:r>
      <w:r/>
    </w:p>
    <w:p>
      <w:pPr>
        <w:ind w:firstLine="560"/>
        <w:rPr>
          <w:rFonts w:ascii="仿宋_GB2312" w:eastAsia="仿宋_GB2312"/>
          <w:color w:val="000000"/>
          <w:sz w:val="28"/>
          <w:szCs w:val="28"/>
        </w:rPr>
      </w:pPr>
      <w:r>
        <w:rPr>
          <w:rFonts w:hint="eastAsia" w:ascii="仿宋_GB2312" w:eastAsia="仿宋_GB2312"/>
          <w:color w:val="000000"/>
          <w:sz w:val="28"/>
          <w:szCs w:val="28"/>
        </w:rPr>
        <w:t xml:space="preserve">4、</w:t>
      </w:r>
      <w:r/>
    </w:p>
    <w:p>
      <w:pPr>
        <w:ind w:firstLine="560"/>
        <w:spacing w:line="520" w:lineRule="exact"/>
        <w:rPr>
          <w:rFonts w:ascii="仿宋_GB2312" w:hAnsi="仿宋" w:eastAsia="仿宋_GB2312" w:cs="仿宋"/>
          <w:bCs/>
          <w:color w:val="000000"/>
          <w:sz w:val="28"/>
          <w:szCs w:val="28"/>
        </w:rPr>
      </w:pPr>
      <w:r>
        <w:rPr>
          <w:rFonts w:hint="eastAsia" w:ascii="仿宋_GB2312" w:eastAsia="仿宋_GB2312"/>
          <w:color w:val="000000"/>
          <w:sz w:val="28"/>
          <w:szCs w:val="28"/>
        </w:rPr>
        <w:t xml:space="preserve">……</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三、服务期间（项目完成期限）</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委托服务期间自______年______月至______年______月止。</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四、付款方式</w:t>
      </w:r>
      <w:r/>
    </w:p>
    <w:p>
      <w:pPr>
        <w:ind w:firstLine="548"/>
        <w:spacing w:line="520" w:lineRule="exact"/>
        <w:rPr>
          <w:rFonts w:ascii="仿宋_GB2312" w:eastAsia="仿宋_GB2312"/>
          <w:color w:val="000000"/>
          <w:sz w:val="28"/>
          <w:szCs w:val="28"/>
        </w:rPr>
      </w:pPr>
      <w:r>
        <w:rPr>
          <w:rFonts w:ascii="仿宋_GB2312" w:eastAsia="仿宋_GB2312"/>
          <w:color w:val="000000"/>
          <w:sz w:val="28"/>
          <w:szCs w:val="28"/>
        </w:rPr>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五、知识产权产权归属</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六、保密</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七、违约责任与赔偿损失</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1、乙方提供的服务不符合招标文件、报价文件或本合同规定的，甲方有权拒收，并且乙方须向甲方支付本合同总价5%的违约金。</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3、甲方无正当理由拒收接受服务，到期拒付服务款项的，甲方向乙方偿付本合同总的5%的违约金。甲方人逾期付款，则每日按本合同总价的3‰向乙方偿付违约金。</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4、其它违约责任按《中华人民共和国合同法》处理。</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八、争端的解决</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合同执行过程中发生的任何争议，如双方不能通过友好协商解决，按相关法律法规处理。</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九、不可抗力：</w:t>
      </w:r>
      <w:r>
        <w:rPr>
          <w:rFonts w:hint="eastAsia" w:ascii="仿宋" w:hAnsi="仿宋" w:eastAsia="仿宋" w:cs="仿宋"/>
          <w:color w:val="000000"/>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十、合同的组成部分</w:t>
      </w:r>
      <w:r/>
    </w:p>
    <w:p>
      <w:pPr>
        <w:ind w:firstLine="54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本合同条款、中标通知书、招标文件、响应文件及乙方在投标时的书面承诺等构成合同的组成部分。 </w:t>
      </w:r>
      <w:r/>
    </w:p>
    <w:p>
      <w:pPr>
        <w:ind w:firstLine="551"/>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十一</w:t>
      </w:r>
      <w:r>
        <w:rPr>
          <w:rFonts w:hint="eastAsia" w:ascii="仿宋" w:hAnsi="仿宋" w:eastAsia="仿宋" w:cs="仿宋"/>
          <w:color w:val="000000"/>
          <w:sz w:val="28"/>
          <w:szCs w:val="28"/>
        </w:rPr>
        <w:t xml:space="preserve">、本合同一式四份，甲方、乙方各执一份，采购代理机构、兴化市数据局各一份。</w:t>
      </w:r>
      <w:r/>
    </w:p>
    <w:p>
      <w:pPr>
        <w:ind w:firstLine="551"/>
        <w:spacing w:line="520" w:lineRule="exact"/>
        <w:rPr>
          <w:rFonts w:ascii="仿宋_GB2312" w:eastAsia="仿宋_GB2312"/>
          <w:color w:val="000000"/>
          <w:spacing w:val="-4"/>
          <w:sz w:val="28"/>
          <w:szCs w:val="28"/>
        </w:rPr>
      </w:pPr>
      <w:r>
        <w:rPr>
          <w:rFonts w:hint="eastAsia" w:ascii="仿宋" w:hAnsi="仿宋" w:eastAsia="仿宋" w:cs="仿宋"/>
          <w:b/>
          <w:color w:val="000000"/>
          <w:sz w:val="28"/>
          <w:szCs w:val="28"/>
        </w:rPr>
        <w:t xml:space="preserve">十二</w:t>
      </w:r>
      <w:r>
        <w:rPr>
          <w:rFonts w:hint="eastAsia" w:ascii="仿宋" w:hAnsi="仿宋" w:eastAsia="仿宋" w:cs="仿宋"/>
          <w:color w:val="000000"/>
          <w:sz w:val="28"/>
          <w:szCs w:val="28"/>
        </w:rPr>
        <w:t xml:space="preserve">、本合同一切未尽事宜，按合同法有关规定执行，无相关规定的，由甲乙双方协商解决。</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买方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甲方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rPr>
          <w:rFonts w:hint="eastAsia" w:ascii="仿宋" w:hAnsi="仿宋" w:eastAsia="仿宋"/>
          <w:color w:val="000000"/>
          <w:spacing w:val="-4"/>
          <w:sz w:val="28"/>
          <w:szCs w:val="28"/>
        </w:rPr>
        <w:t xml:space="preserve">              卖方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乙方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rPr>
          <w:rFonts w:ascii="仿宋" w:hAnsi="仿宋" w:eastAsia="仿宋"/>
          <w:color w:val="000000"/>
          <w:spacing w:val="-4"/>
          <w:sz w:val="28"/>
          <w:szCs w:val="28"/>
        </w:rPr>
        <w:t xml:space="preserve">               </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法定代表人签名：</w:t>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ascii="仿宋" w:hAnsi="仿宋" w:eastAsia="仿宋"/>
          <w:color w:val="000000"/>
          <w:spacing w:val="-4"/>
          <w:sz w:val="28"/>
          <w:szCs w:val="28"/>
        </w:rPr>
        <w:tab/>
      </w:r>
      <w:r>
        <w:rPr>
          <w:rFonts w:hint="eastAsia" w:ascii="仿宋" w:hAnsi="仿宋" w:eastAsia="仿宋"/>
          <w:color w:val="000000"/>
          <w:spacing w:val="-4"/>
          <w:sz w:val="28"/>
          <w:szCs w:val="28"/>
        </w:rPr>
        <w:t xml:space="preserve">                法定代表人签名:     </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7344" w:right="386" w:hanging="7344"/>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见证方（公章）：   </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7344" w:right="386" w:hanging="7344"/>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项目负责人签名：</w:t>
      </w:r>
      <w:r/>
    </w:p>
    <w:p>
      <w:pPr>
        <w:ind w:left="7344" w:right="386" w:hanging="7344"/>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jc w:val="right"/>
        <w:spacing w:line="360" w:lineRule="auto"/>
        <w:rPr>
          <w:rFonts w:ascii="仿宋" w:hAnsi="仿宋" w:eastAsia="仿宋"/>
          <w:color w:val="000000"/>
          <w:spacing w:val="-4"/>
          <w:sz w:val="28"/>
          <w:szCs w:val="28"/>
        </w:rPr>
      </w:pPr>
      <w:r>
        <w:rPr>
          <w:rFonts w:hint="eastAsia" w:ascii="仿宋" w:hAnsi="仿宋" w:eastAsia="仿宋"/>
          <w:color w:val="000000"/>
          <w:sz w:val="28"/>
          <w:szCs w:val="28"/>
        </w:rPr>
        <w:t xml:space="preserve">年   月   日</w:t>
      </w:r>
      <w:r/>
    </w:p>
    <w:p>
      <w:pPr>
        <w:ind w:firstLine="18"/>
        <w:rPr>
          <w:color w:val="000000"/>
        </w:rPr>
      </w:pPr>
      <w:r>
        <w:rPr>
          <w:color w:val="000000"/>
        </w:rPr>
        <w:br w:type="page" w:clear="all"/>
      </w:r>
      <w:r/>
    </w:p>
    <w:p>
      <w:pPr>
        <w:pStyle w:val="697"/>
        <w:ind w:left="0" w:right="1323"/>
        <w:rPr>
          <w:rFonts w:ascii="仿宋" w:hAnsi="仿宋" w:eastAsia="仿宋" w:cs="仿宋"/>
          <w:sz w:val="24"/>
        </w:rPr>
      </w:pPr>
      <w:r>
        <w:rPr>
          <w:rFonts w:ascii="仿宋" w:hAnsi="仿宋" w:eastAsia="仿宋" w:cs="仿宋"/>
          <w:sz w:val="24"/>
        </w:rPr>
      </w:r>
      <w:r/>
    </w:p>
    <w:p>
      <w:pPr>
        <w:jc w:val="center"/>
        <w:widowControl/>
        <w:rPr>
          <w:rFonts w:cs="仿宋" w:asciiTheme="minorEastAsia" w:hAnsiTheme="minorEastAsia" w:eastAsiaTheme="minorEastAsia"/>
          <w:sz w:val="30"/>
          <w:szCs w:val="30"/>
        </w:rPr>
      </w:pPr>
      <w:r>
        <w:rPr>
          <w:rFonts w:hint="eastAsia" w:ascii="黑体" w:hAnsi="Century Schoolbook" w:eastAsia="黑体"/>
          <w:color w:val="000000"/>
          <w:spacing w:val="-4"/>
          <w:sz w:val="36"/>
          <w:szCs w:val="20"/>
        </w:rPr>
        <w:t xml:space="preserve">第六章  采购需求</w:t>
      </w:r>
      <w:r/>
    </w:p>
    <w:p>
      <w:pPr>
        <w:ind w:firstLine="518"/>
        <w:spacing w:line="440" w:lineRule="exact"/>
        <w:rPr>
          <w:rFonts w:ascii="仿宋" w:hAnsi="仿宋" w:eastAsia="仿宋"/>
          <w:b/>
          <w:bCs/>
          <w:sz w:val="28"/>
          <w:szCs w:val="28"/>
        </w:rPr>
      </w:pPr>
      <w:r>
        <w:rPr>
          <w:rFonts w:hint="eastAsia" w:ascii="仿宋" w:hAnsi="仿宋" w:eastAsia="仿宋"/>
          <w:b/>
          <w:bCs/>
          <w:sz w:val="28"/>
          <w:szCs w:val="28"/>
        </w:rPr>
        <w:t xml:space="preserve">采购技术要求（对不允许偏离的实质性要求和条件，以加粗方式提示）</w:t>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为加快推进养老服务体系建设，解决多层次、多样化的养老服务需求，真正实现老有所养、老有所依的目标，我局拟开展2026年、2027年（两年）居家上门服务工作，通过配餐服务、上门保洁、助医助急等多方位专业化、个性化、持续性的综合养老服务，让老年人能够在家享受优质、便捷的养老服务。</w:t>
      </w:r>
      <w:r/>
    </w:p>
    <w:p>
      <w:pPr>
        <w:ind w:firstLine="518"/>
        <w:spacing w:line="560" w:lineRule="exact"/>
        <w:rPr>
          <w:rFonts w:ascii="仿宋" w:hAnsi="仿宋" w:eastAsia="仿宋" w:cs="黑体"/>
          <w:color w:val="000000"/>
          <w:sz w:val="28"/>
          <w:szCs w:val="28"/>
        </w:rPr>
      </w:pPr>
      <w:r>
        <w:rPr>
          <w:rFonts w:hint="eastAsia" w:ascii="仿宋" w:hAnsi="仿宋" w:eastAsia="仿宋" w:cs="黑体"/>
          <w:color w:val="000000"/>
          <w:sz w:val="28"/>
          <w:szCs w:val="28"/>
        </w:rPr>
        <w:t xml:space="preserve">一、基本情况</w:t>
      </w:r>
      <w:bookmarkStart w:id="2" w:name="_Hlk88667810"/>
      <w:r/>
      <w:r/>
    </w:p>
    <w:p>
      <w:pPr>
        <w:ind w:firstLine="518"/>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从2019年开始，我市已连续7年，通过政府购买服务为全市经济困难高龄、失能老年人提供居家养老上门服务，有效弥补传统家庭养老和机构养老的不足，发挥着一定的积极作用，形成老人、</w:t>
      </w:r>
      <w:r>
        <w:rPr>
          <w:rFonts w:hint="eastAsia" w:ascii="仿宋" w:hAnsi="仿宋" w:eastAsia="仿宋" w:cs="仿宋_GB2312"/>
          <w:color w:val="000000" w:themeColor="text1"/>
          <w:sz w:val="28"/>
          <w:szCs w:val="28"/>
          <w:lang w:eastAsia="zh-CN"/>
          <w14:textFill>
            <w14:solidFill>
              <w14:schemeClr w14:val="tx1"/>
            </w14:solidFill>
          </w14:textFill>
        </w:rPr>
        <w:t xml:space="preserve">养老护理员</w:t>
      </w:r>
      <w:r>
        <w:rPr>
          <w:rFonts w:hint="eastAsia" w:ascii="仿宋" w:hAnsi="仿宋" w:eastAsia="仿宋" w:cs="仿宋_GB2312"/>
          <w:color w:val="000000" w:themeColor="text1"/>
          <w:sz w:val="28"/>
          <w:szCs w:val="28"/>
          <w14:textFill>
            <w14:solidFill>
              <w14:schemeClr w14:val="tx1"/>
            </w14:solidFill>
          </w14:textFill>
        </w:rPr>
        <w:t xml:space="preserve">、政府和多方受益的良好模式。</w:t>
      </w:r>
      <w:bookmarkEnd w:id="2"/>
      <w:r/>
      <w:r/>
    </w:p>
    <w:p>
      <w:pPr>
        <w:ind w:firstLine="518"/>
        <w:spacing w:line="560" w:lineRule="exact"/>
        <w:rPr>
          <w:rFonts w:ascii="仿宋" w:hAnsi="仿宋" w:eastAsia="仿宋" w:cs="黑体"/>
          <w:color w:val="000000"/>
          <w:sz w:val="28"/>
          <w:szCs w:val="28"/>
        </w:rPr>
      </w:pPr>
      <w:r>
        <w:rPr>
          <w:rFonts w:hint="eastAsia" w:ascii="仿宋" w:hAnsi="仿宋" w:eastAsia="仿宋" w:cs="黑体"/>
          <w:color w:val="000000"/>
          <w:sz w:val="28"/>
          <w:szCs w:val="28"/>
        </w:rPr>
        <w:t xml:space="preserve">二、采购需求</w:t>
      </w:r>
      <w:r/>
    </w:p>
    <w:p>
      <w:pPr>
        <w:ind w:firstLine="516"/>
        <w:spacing w:line="560" w:lineRule="exact"/>
        <w:rPr>
          <w:rFonts w:ascii="仿宋" w:hAnsi="仿宋" w:eastAsia="仿宋" w:cs="仿宋_GB2312"/>
          <w:color w:val="000000" w:themeColor="text1"/>
          <w:sz w:val="28"/>
          <w:szCs w:val="28"/>
          <w14:textFill>
            <w14:solidFill>
              <w14:schemeClr w14:val="tx1"/>
            </w14:solidFill>
          </w14:textFill>
        </w:rPr>
      </w:pPr>
      <w:r>
        <w:rPr>
          <w:rFonts w:hint="eastAsia" w:ascii="仿宋" w:hAnsi="仿宋" w:eastAsia="仿宋" w:cs="仿宋_GB2312"/>
          <w:color w:val="000000" w:themeColor="text1"/>
          <w:sz w:val="28"/>
          <w:szCs w:val="28"/>
          <w14:textFill>
            <w14:solidFill>
              <w14:schemeClr w14:val="tx1"/>
            </w14:solidFill>
          </w14:textFill>
        </w:rPr>
        <w:t xml:space="preserve">1、本次采购范围：协助各乡镇（街道）民政工作站并开展民政类政府购买服务；开展居家养老上门服务并对服务对象身体能力状况评价和服务需求评估调查；协助乡镇开展空巢独居、失能等特殊困难老年人摸排和探访关爱服务；参与农村养老服务设施建设及运营。</w:t>
      </w:r>
      <w:r/>
    </w:p>
    <w:p>
      <w:pPr>
        <w:ind w:firstLine="516"/>
        <w:spacing w:line="560" w:lineRule="exact"/>
        <w:rPr>
          <w:rFonts w:ascii="仿宋" w:hAnsi="仿宋" w:eastAsia="仿宋" w:cs="仿宋_GB2312"/>
          <w:b/>
          <w:bCs/>
          <w:sz w:val="28"/>
          <w:szCs w:val="28"/>
        </w:rPr>
      </w:pPr>
      <w:r>
        <w:rPr>
          <w:rFonts w:hint="eastAsia" w:ascii="仿宋" w:hAnsi="仿宋" w:eastAsia="仿宋" w:cs="仿宋_GB2312"/>
          <w:color w:val="000000" w:themeColor="text1"/>
          <w:sz w:val="28"/>
          <w:szCs w:val="28"/>
          <w14:textFill>
            <w14:solidFill>
              <w14:schemeClr w14:val="tx1"/>
            </w14:solidFill>
          </w14:textFill>
        </w:rPr>
        <w:t xml:space="preserve">2、本项目标段划分、采购限价：</w:t>
      </w:r>
      <w:r>
        <w:rPr>
          <w:rFonts w:hint="eastAsia" w:ascii="仿宋" w:hAnsi="仿宋" w:eastAsia="仿宋" w:cs="仿宋_GB2312"/>
          <w:color w:val="000000" w:themeColor="text1"/>
          <w:sz w:val="28"/>
          <w:szCs w:val="28"/>
          <w:lang w:val="en-US" w:eastAsia="zh-CN"/>
          <w14:textFill>
            <w14:solidFill>
              <w14:schemeClr w14:val="tx1"/>
            </w14:solidFill>
          </w14:textFill>
        </w:rPr>
        <w:t xml:space="preserve">3600</w:t>
      </w:r>
      <w:r>
        <w:rPr>
          <w:rFonts w:hint="eastAsia" w:ascii="仿宋" w:hAnsi="仿宋" w:eastAsia="仿宋" w:cs="仿宋_GB2312"/>
          <w:color w:val="000000" w:themeColor="text1"/>
          <w:sz w:val="28"/>
          <w:szCs w:val="28"/>
          <w14:textFill>
            <w14:solidFill>
              <w14:schemeClr w14:val="tx1"/>
            </w14:solidFill>
          </w14:textFill>
        </w:rPr>
        <w:t xml:space="preserve">万元。</w:t>
      </w:r>
      <w:r>
        <w:rPr>
          <w:rFonts w:hint="eastAsia" w:ascii="仿宋" w:hAnsi="仿宋" w:eastAsia="仿宋" w:cs="仿宋_GB2312"/>
          <w:b/>
          <w:bCs/>
          <w:color w:val="000000" w:themeColor="text1"/>
          <w:sz w:val="28"/>
          <w:szCs w:val="28"/>
          <w14:textFill>
            <w14:solidFill>
              <w14:schemeClr w14:val="tx1"/>
            </w14:solidFill>
          </w14:textFill>
        </w:rPr>
        <w:t xml:space="preserve">（根据省民政厅相关文件，文件要求投标总价、单价不可更改和下浮</w:t>
      </w:r>
      <w:r>
        <w:rPr>
          <w:rFonts w:hint="eastAsia" w:ascii="仿宋" w:hAnsi="仿宋" w:eastAsia="仿宋" w:cs="仿宋_GB2312"/>
          <w:b/>
          <w:bCs/>
          <w:color w:val="000000" w:themeColor="text1"/>
          <w:sz w:val="28"/>
          <w:szCs w:val="28"/>
          <w:lang w:eastAsia="zh-CN"/>
          <w14:textFill>
            <w14:solidFill>
              <w14:schemeClr w14:val="tx1"/>
            </w14:solidFill>
          </w14:textFill>
        </w:rPr>
        <w:t xml:space="preserve">，</w:t>
      </w:r>
      <w:r>
        <w:rPr>
          <w:rFonts w:hint="eastAsia" w:ascii="仿宋" w:hAnsi="仿宋" w:eastAsia="仿宋"/>
          <w:b/>
          <w:bCs/>
          <w:color w:val="000000"/>
          <w:sz w:val="28"/>
          <w:szCs w:val="28"/>
          <w:highlight w:val="yellow"/>
          <w:lang w:val="en-US" w:eastAsia="zh-CN"/>
        </w:rPr>
        <w:t xml:space="preserve">统一按照两年标准报价</w:t>
      </w:r>
      <w:r>
        <w:rPr>
          <w:rFonts w:hint="eastAsia" w:ascii="仿宋" w:hAnsi="仿宋" w:eastAsia="仿宋" w:cs="仿宋_GB2312"/>
          <w:b/>
          <w:bCs/>
          <w:color w:val="000000" w:themeColor="text1"/>
          <w:sz w:val="28"/>
          <w:szCs w:val="28"/>
          <w:highlight w:val="yellow"/>
          <w14:textFill>
            <w14:solidFill>
              <w14:schemeClr w14:val="tx1"/>
            </w14:solidFill>
          </w14:textFill>
        </w:rPr>
        <w:t xml:space="preserve">。</w:t>
      </w:r>
      <w:r>
        <w:rPr>
          <w:rFonts w:hint="eastAsia" w:ascii="仿宋" w:hAnsi="仿宋" w:eastAsia="仿宋" w:cs="仿宋_GB2312"/>
          <w:b/>
          <w:bCs/>
          <w:color w:val="000000" w:themeColor="text1"/>
          <w:sz w:val="28"/>
          <w:szCs w:val="28"/>
          <w14:textFill>
            <w14:solidFill>
              <w14:schemeClr w14:val="tx1"/>
            </w14:solidFill>
          </w14:textFill>
        </w:rPr>
        <w:t xml:space="preserve">）</w:t>
      </w:r>
      <w:r/>
    </w:p>
    <w:tbl>
      <w:tblPr>
        <w:tblStyle w:val="686"/>
        <w:tblW w:w="9849" w:type="dxa"/>
        <w:jc w:val="center"/>
        <w:tblLayout w:type="autofit"/>
        <w:tblCellMar>
          <w:left w:w="108" w:type="dxa"/>
          <w:top w:w="0" w:type="dxa"/>
          <w:right w:w="108" w:type="dxa"/>
          <w:bottom w:w="0" w:type="dxa"/>
        </w:tblCellMar>
        <w:tblLook w:val="04A0" w:firstRow="1" w:lastRow="0" w:firstColumn="1" w:lastColumn="0" w:noHBand="0" w:noVBand="1"/>
      </w:tblPr>
      <w:tblGrid>
        <w:gridCol w:w="2131"/>
        <w:gridCol w:w="6248"/>
        <w:gridCol w:w="1470"/>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标段</w:t>
            </w:r>
            <w:r/>
          </w:p>
        </w:tc>
        <w:tc>
          <w:tcPr>
            <w:shd w:val="clear" w:color="auto" w:fill="auto"/>
            <w:tcBorders>
              <w:top w:val="single" w:color="auto" w:sz="12" w:space="0"/>
              <w:left w:val="single" w:color="auto" w:sz="4" w:space="0"/>
              <w:bottom w:val="single" w:color="auto" w:sz="4" w:space="0"/>
              <w:right w:val="single" w:color="auto" w:sz="4" w:space="0"/>
            </w:tcBorders>
            <w:tcW w:w="6248"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服务区域</w:t>
            </w:r>
            <w:r/>
          </w:p>
        </w:tc>
        <w:tc>
          <w:tcPr>
            <w:shd w:val="clear" w:color="auto" w:fill="auto"/>
            <w:tcBorders>
              <w:top w:val="single" w:color="auto" w:sz="12" w:space="0"/>
              <w:left w:val="single" w:color="auto" w:sz="4" w:space="0"/>
              <w:bottom w:val="single" w:color="auto" w:sz="4" w:space="0"/>
              <w:right w:val="single" w:color="auto" w:sz="12" w:space="0"/>
            </w:tcBorders>
            <w:tcW w:w="147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预算</w:t>
            </w:r>
            <w:r/>
          </w:p>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（万元）</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昭阳街道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32"/>
                <w:szCs w:val="32"/>
                <w:highlight w:val="yellow"/>
                <w:lang w:val="en-US" w:eastAsia="zh-CN"/>
              </w:rPr>
            </w:pPr>
            <w:r>
              <w:rPr>
                <w:rFonts w:hint="eastAsia" w:ascii="仿宋" w:hAnsi="仿宋" w:eastAsia="仿宋" w:cs="仿宋"/>
                <w:color w:val="000000"/>
                <w:sz w:val="28"/>
                <w:szCs w:val="28"/>
                <w:lang w:val="en-US" w:eastAsia="zh-CN"/>
              </w:rPr>
              <w:t xml:space="preserve">204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临城街道、垛田街道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342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兴东镇、林湖乡、昌荣镇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270</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竹泓镇、大垛镇、荻垛镇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294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安丰镇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大邹镇、海南镇、钓鱼镇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256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戴南镇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474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陈堡镇、周庄镇、沈伦镇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376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千垛镇、沙沟镇、中堡镇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368</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永丰镇、戴窑镇、陶庄镇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392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lang w:bidi="ar"/>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rPr>
              <w:t xml:space="preserve">新垛镇、大营镇、合陈镇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12"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lang w:bidi="ar"/>
              </w:rPr>
            </w:pPr>
            <w:r>
              <w:rPr>
                <w:rFonts w:ascii="仿宋" w:hAnsi="仿宋" w:eastAsia="仿宋" w:cs="仿宋"/>
                <w:b/>
                <w:color w:val="000000"/>
                <w:sz w:val="28"/>
                <w:szCs w:val="28"/>
                <w:lang w:bidi="ar"/>
              </w:rPr>
            </w:r>
            <w:r/>
          </w:p>
        </w:tc>
        <w:tc>
          <w:tcPr>
            <w:shd w:val="clear" w:color="auto" w:fill="auto"/>
            <w:tcBorders>
              <w:top w:val="single" w:color="auto" w:sz="4" w:space="0"/>
              <w:left w:val="single" w:color="auto" w:sz="4" w:space="0"/>
              <w:bottom w:val="single" w:color="auto" w:sz="12" w:space="0"/>
              <w:right w:val="single" w:color="auto" w:sz="4" w:space="0"/>
            </w:tcBorders>
            <w:tcW w:w="6248" w:type="dxa"/>
            <w:vAlign w:val="center"/>
            <w:textDirection w:val="lrTb"/>
            <w:noWrap/>
          </w:tcPr>
          <w:p>
            <w:pPr>
              <w:jc w:val="left"/>
              <w:widowControl/>
              <w:rPr>
                <w:rFonts w:ascii="仿宋" w:hAnsi="仿宋" w:eastAsia="仿宋" w:cs="仿宋"/>
                <w:b/>
                <w:color w:val="000000"/>
                <w:sz w:val="28"/>
                <w:szCs w:val="28"/>
                <w:highlight w:val="none"/>
                <w:lang w:bidi="ar"/>
              </w:rPr>
            </w:pPr>
            <w:r>
              <w:rPr>
                <w:rFonts w:hint="eastAsia" w:ascii="仿宋" w:hAnsi="仿宋" w:eastAsia="仿宋" w:cs="仿宋"/>
                <w:b/>
                <w:color w:val="000000"/>
                <w:sz w:val="28"/>
                <w:szCs w:val="28"/>
                <w:highlight w:val="none"/>
                <w:lang w:bidi="ar"/>
              </w:rPr>
              <w:t xml:space="preserve">合计</w:t>
            </w:r>
            <w:r/>
          </w:p>
        </w:tc>
        <w:tc>
          <w:tcPr>
            <w:shd w:val="clear" w:color="auto" w:fill="auto"/>
            <w:tcBorders>
              <w:top w:val="single" w:color="auto" w:sz="4" w:space="0"/>
              <w:left w:val="single" w:color="auto" w:sz="4" w:space="0"/>
              <w:bottom w:val="single" w:color="auto" w:sz="12" w:space="0"/>
              <w:right w:val="single" w:color="auto" w:sz="12" w:space="0"/>
            </w:tcBorders>
            <w:tcW w:w="1470" w:type="dxa"/>
            <w:vAlign w:val="center"/>
            <w:textDirection w:val="lrTb"/>
            <w:noWrap/>
          </w:tcPr>
          <w:p>
            <w:pPr>
              <w:jc w:val="center"/>
              <w:keepLines w:val="0"/>
              <w:keepNext w:val="0"/>
              <w:widowControl/>
              <w:rPr>
                <w:rFonts w:ascii="仿宋" w:hAnsi="仿宋" w:eastAsia="仿宋" w:cs="仿宋"/>
                <w:b/>
                <w:color w:val="000000" w:themeColor="text1"/>
                <w:sz w:val="32"/>
                <w:szCs w:val="32"/>
                <w:highlight w:val="none"/>
                <w:lang w:bidi="ar"/>
                <w14:textFill>
                  <w14:solidFill>
                    <w14:schemeClr w14:val="tx1"/>
                  </w14:solidFill>
                </w14:textFill>
              </w:rPr>
              <w:suppressLineNumbers w:val="0"/>
            </w:pPr>
            <w:r>
              <w:rPr>
                <w:rFonts w:hint="eastAsia" w:ascii="宋体" w:hAnsi="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lang w:val="en-US" w:eastAsia="zh-CN" w:bidi="ar"/>
              </w:rPr>
              <w:t xml:space="preserve">00</w:t>
            </w:r>
            <w:r/>
          </w:p>
        </w:tc>
      </w:tr>
    </w:tbl>
    <w:p>
      <w:pPr>
        <w:pStyle w:val="734"/>
        <w:ind w:firstLine="520"/>
        <w:rPr>
          <w:rFonts w:hint="eastAsia" w:ascii="仿宋" w:hAnsi="仿宋" w:eastAsia="仿宋" w:cs="仿宋_GB2312"/>
          <w:b/>
          <w:bCs/>
          <w:szCs w:val="28"/>
          <w:lang w:eastAsia="zh-CN"/>
        </w:rPr>
      </w:pPr>
      <w:r>
        <w:rPr>
          <w:rFonts w:hint="eastAsia" w:ascii="仿宋" w:hAnsi="仿宋" w:eastAsia="仿宋" w:cs="仿宋_GB2312"/>
          <w:szCs w:val="28"/>
        </w:rPr>
        <w:t xml:space="preserve">★</w:t>
      </w:r>
      <w:r>
        <w:rPr>
          <w:rFonts w:hint="eastAsia" w:ascii="仿宋" w:hAnsi="仿宋" w:eastAsia="仿宋" w:cs="仿宋_GB2312"/>
          <w:b/>
          <w:bCs/>
          <w:szCs w:val="28"/>
        </w:rPr>
        <w:t xml:space="preserve">中标单位签订合同前需按规定向采购人指定的账户缴纳项目</w:t>
      </w:r>
      <w:r>
        <w:rPr>
          <w:rFonts w:hint="eastAsia" w:ascii="仿宋" w:hAnsi="仿宋" w:eastAsia="仿宋" w:cs="仿宋_GB2312"/>
          <w:b w:val="0"/>
          <w:bCs w:val="0"/>
          <w:szCs w:val="28"/>
        </w:rPr>
        <w:t xml:space="preserve">中标金额</w:t>
      </w:r>
      <w:r>
        <w:rPr>
          <w:rFonts w:hint="eastAsia" w:ascii="仿宋" w:hAnsi="仿宋" w:eastAsia="仿宋" w:cs="仿宋_GB2312"/>
          <w:b w:val="0"/>
          <w:bCs w:val="0"/>
          <w:szCs w:val="28"/>
          <w:lang w:val="en-US" w:eastAsia="zh-CN"/>
        </w:rPr>
        <w:t xml:space="preserve">10</w:t>
      </w:r>
      <w:r>
        <w:rPr>
          <w:rFonts w:hint="eastAsia" w:ascii="仿宋" w:hAnsi="仿宋" w:eastAsia="仿宋" w:cs="仿宋_GB2312"/>
          <w:b w:val="0"/>
          <w:bCs w:val="0"/>
          <w:szCs w:val="28"/>
        </w:rPr>
        <w:t xml:space="preserve">%履约保证金。</w:t>
      </w:r>
      <w:r/>
    </w:p>
    <w:p>
      <w:pPr>
        <w:pStyle w:val="734"/>
        <w:ind w:firstLine="520"/>
        <w:rPr>
          <w:rFonts w:hint="default"/>
          <w:lang w:val="en-US" w:eastAsia="zh-CN"/>
        </w:rPr>
      </w:pPr>
      <w:r>
        <w:rPr>
          <w:rFonts w:hint="eastAsia" w:ascii="仿宋" w:hAnsi="仿宋" w:eastAsia="仿宋" w:cs="仿宋_GB2312"/>
          <w:b/>
          <w:bCs/>
          <w:szCs w:val="28"/>
          <w:highlight w:val="yellow"/>
        </w:rPr>
        <w:t xml:space="preserve">乡镇服务区域划分为11个标段。每家投标单位可投本项目的一个标段或多个标段。评标委员会</w:t>
      </w:r>
      <w:r>
        <w:rPr>
          <w:rFonts w:ascii="仿宋" w:hAnsi="仿宋" w:eastAsia="仿宋" w:cs="仿宋_GB2312"/>
          <w:b/>
          <w:bCs/>
          <w:szCs w:val="28"/>
          <w:highlight w:val="yellow"/>
        </w:rPr>
        <w:t xml:space="preserve">按照标段顺序</w:t>
      </w:r>
      <w:r>
        <w:rPr>
          <w:rFonts w:hint="eastAsia" w:ascii="仿宋" w:hAnsi="仿宋" w:eastAsia="仿宋" w:cs="仿宋_GB2312"/>
          <w:b/>
          <w:bCs/>
          <w:szCs w:val="28"/>
          <w:highlight w:val="yellow"/>
        </w:rPr>
        <w:t xml:space="preserve">依次</w:t>
      </w:r>
      <w:r>
        <w:rPr>
          <w:rFonts w:ascii="仿宋" w:hAnsi="仿宋" w:eastAsia="仿宋" w:cs="仿宋_GB2312"/>
          <w:b/>
          <w:bCs/>
          <w:szCs w:val="28"/>
          <w:highlight w:val="yellow"/>
        </w:rPr>
        <w:t xml:space="preserve">评标，综合</w:t>
      </w:r>
      <w:r>
        <w:rPr>
          <w:rFonts w:hint="eastAsia" w:ascii="仿宋" w:hAnsi="仿宋" w:eastAsia="仿宋" w:cs="仿宋_GB2312"/>
          <w:b/>
          <w:bCs/>
          <w:szCs w:val="28"/>
          <w:highlight w:val="yellow"/>
        </w:rPr>
        <w:t xml:space="preserve">得分</w:t>
      </w:r>
      <w:r>
        <w:rPr>
          <w:rFonts w:ascii="仿宋" w:hAnsi="仿宋" w:eastAsia="仿宋" w:cs="仿宋_GB2312"/>
          <w:b/>
          <w:bCs/>
          <w:szCs w:val="28"/>
          <w:highlight w:val="yellow"/>
        </w:rPr>
        <w:t xml:space="preserve">最高为</w:t>
      </w:r>
      <w:r>
        <w:rPr>
          <w:rFonts w:hint="eastAsia" w:ascii="仿宋" w:hAnsi="仿宋" w:eastAsia="仿宋" w:cs="仿宋_GB2312"/>
          <w:b/>
          <w:bCs/>
          <w:szCs w:val="28"/>
          <w:highlight w:val="yellow"/>
        </w:rPr>
        <w:t xml:space="preserve">所</w:t>
      </w:r>
      <w:r>
        <w:rPr>
          <w:rFonts w:ascii="仿宋" w:hAnsi="仿宋" w:eastAsia="仿宋" w:cs="仿宋_GB2312"/>
          <w:b/>
          <w:bCs/>
          <w:szCs w:val="28"/>
          <w:highlight w:val="yellow"/>
        </w:rPr>
        <w:t xml:space="preserve">评标段的中标候选人。</w:t>
      </w:r>
      <w:r>
        <w:rPr>
          <w:rFonts w:hint="eastAsia" w:ascii="仿宋" w:hAnsi="仿宋" w:eastAsia="仿宋" w:cs="仿宋_GB2312"/>
          <w:b/>
          <w:bCs/>
          <w:szCs w:val="28"/>
          <w:highlight w:val="yellow"/>
        </w:rPr>
        <w:t xml:space="preserve">每家投标</w:t>
      </w:r>
      <w:r>
        <w:rPr>
          <w:rFonts w:ascii="仿宋" w:hAnsi="仿宋" w:eastAsia="仿宋" w:cs="仿宋_GB2312"/>
          <w:b/>
          <w:bCs/>
          <w:szCs w:val="28"/>
          <w:highlight w:val="yellow"/>
        </w:rPr>
        <w:t xml:space="preserve">单位所中标的的</w:t>
      </w:r>
      <w:r>
        <w:rPr>
          <w:rFonts w:hint="eastAsia" w:ascii="仿宋" w:hAnsi="仿宋" w:eastAsia="仿宋" w:cs="仿宋_GB2312"/>
          <w:b/>
          <w:bCs/>
          <w:szCs w:val="28"/>
          <w:highlight w:val="yellow"/>
        </w:rPr>
        <w:t xml:space="preserve">累计</w:t>
      </w:r>
      <w:r>
        <w:rPr>
          <w:rFonts w:ascii="仿宋" w:hAnsi="仿宋" w:eastAsia="仿宋" w:cs="仿宋_GB2312"/>
          <w:b/>
          <w:bCs/>
          <w:szCs w:val="28"/>
          <w:highlight w:val="yellow"/>
        </w:rPr>
        <w:t xml:space="preserve">预算</w:t>
      </w:r>
      <w:r>
        <w:rPr>
          <w:rFonts w:hint="eastAsia" w:ascii="仿宋" w:hAnsi="仿宋" w:eastAsia="仿宋" w:cs="仿宋_GB2312"/>
          <w:b/>
          <w:bCs/>
          <w:szCs w:val="28"/>
          <w:highlight w:val="yellow"/>
        </w:rPr>
        <w:t xml:space="preserve">价</w:t>
      </w:r>
      <w:r>
        <w:rPr>
          <w:rFonts w:ascii="仿宋" w:hAnsi="仿宋" w:eastAsia="仿宋" w:cs="仿宋_GB2312"/>
          <w:b/>
          <w:bCs/>
          <w:szCs w:val="28"/>
          <w:highlight w:val="yellow"/>
        </w:rPr>
        <w:t xml:space="preserve">不得超过</w:t>
      </w:r>
      <w:r>
        <w:rPr>
          <w:rFonts w:hint="eastAsia" w:ascii="仿宋" w:hAnsi="仿宋" w:eastAsia="仿宋" w:cs="仿宋_GB2312"/>
          <w:b/>
          <w:bCs/>
          <w:szCs w:val="28"/>
          <w:highlight w:val="yellow"/>
          <w:lang w:val="en-US" w:eastAsia="zh-CN"/>
        </w:rPr>
        <w:t xml:space="preserve">600</w:t>
      </w:r>
      <w:r>
        <w:rPr>
          <w:rFonts w:hint="eastAsia" w:ascii="仿宋" w:hAnsi="仿宋" w:eastAsia="仿宋" w:cs="仿宋_GB2312"/>
          <w:b/>
          <w:bCs/>
          <w:szCs w:val="28"/>
          <w:highlight w:val="yellow"/>
        </w:rPr>
        <w:t xml:space="preserve">万元，</w:t>
      </w:r>
      <w:r>
        <w:rPr>
          <w:rFonts w:ascii="仿宋" w:hAnsi="仿宋" w:eastAsia="仿宋" w:cs="仿宋_GB2312"/>
          <w:b/>
          <w:bCs/>
          <w:szCs w:val="28"/>
          <w:highlight w:val="yellow"/>
        </w:rPr>
        <w:t xml:space="preserve">如</w:t>
      </w:r>
      <w:r>
        <w:rPr>
          <w:rFonts w:hint="eastAsia" w:ascii="仿宋" w:hAnsi="仿宋" w:eastAsia="仿宋" w:cs="仿宋_GB2312"/>
          <w:b/>
          <w:bCs/>
          <w:szCs w:val="28"/>
          <w:highlight w:val="yellow"/>
        </w:rPr>
        <w:t xml:space="preserve">所评标段综合评分第一名的</w:t>
      </w:r>
      <w:r>
        <w:rPr>
          <w:rFonts w:ascii="仿宋" w:hAnsi="仿宋" w:eastAsia="仿宋" w:cs="仿宋_GB2312"/>
          <w:b/>
          <w:bCs/>
          <w:szCs w:val="28"/>
          <w:highlight w:val="yellow"/>
        </w:rPr>
        <w:t xml:space="preserve">累计中标预算金额</w:t>
      </w:r>
      <w:r>
        <w:rPr>
          <w:rFonts w:hint="eastAsia" w:ascii="仿宋" w:hAnsi="仿宋" w:eastAsia="仿宋" w:cs="仿宋_GB2312"/>
          <w:b/>
          <w:bCs/>
          <w:szCs w:val="28"/>
          <w:highlight w:val="yellow"/>
        </w:rPr>
        <w:t xml:space="preserve">（</w:t>
      </w:r>
      <w:r>
        <w:rPr>
          <w:rFonts w:ascii="仿宋" w:hAnsi="仿宋" w:eastAsia="仿宋" w:cs="仿宋_GB2312"/>
          <w:b/>
          <w:bCs/>
          <w:szCs w:val="28"/>
          <w:highlight w:val="yellow"/>
        </w:rPr>
        <w:t xml:space="preserve">含</w:t>
      </w:r>
      <w:r>
        <w:rPr>
          <w:rFonts w:hint="eastAsia" w:ascii="仿宋" w:hAnsi="仿宋" w:eastAsia="仿宋" w:cs="仿宋_GB2312"/>
          <w:b/>
          <w:bCs/>
          <w:szCs w:val="28"/>
          <w:highlight w:val="yellow"/>
        </w:rPr>
        <w:t xml:space="preserve">当前</w:t>
      </w:r>
      <w:r>
        <w:rPr>
          <w:rFonts w:ascii="仿宋" w:hAnsi="仿宋" w:eastAsia="仿宋" w:cs="仿宋_GB2312"/>
          <w:b/>
          <w:bCs/>
          <w:szCs w:val="28"/>
          <w:highlight w:val="yellow"/>
        </w:rPr>
        <w:t xml:space="preserve">所评标段）超过限额（</w:t>
      </w:r>
      <w:r>
        <w:rPr>
          <w:rFonts w:hint="eastAsia" w:ascii="仿宋" w:hAnsi="仿宋" w:eastAsia="仿宋" w:cs="仿宋_GB2312"/>
          <w:b/>
          <w:bCs/>
          <w:szCs w:val="28"/>
          <w:highlight w:val="yellow"/>
          <w:lang w:val="en-US" w:eastAsia="zh-CN"/>
        </w:rPr>
        <w:t xml:space="preserve">600</w:t>
      </w:r>
      <w:r>
        <w:rPr>
          <w:rFonts w:hint="eastAsia" w:ascii="仿宋" w:hAnsi="仿宋" w:eastAsia="仿宋" w:cs="仿宋_GB2312"/>
          <w:b/>
          <w:bCs/>
          <w:szCs w:val="28"/>
          <w:highlight w:val="yellow"/>
        </w:rPr>
        <w:t xml:space="preserve">万元</w:t>
      </w:r>
      <w:r>
        <w:rPr>
          <w:rFonts w:ascii="仿宋" w:hAnsi="仿宋" w:eastAsia="仿宋" w:cs="仿宋_GB2312"/>
          <w:b/>
          <w:bCs/>
          <w:szCs w:val="28"/>
          <w:highlight w:val="yellow"/>
        </w:rPr>
        <w:t xml:space="preserve">）</w:t>
      </w:r>
      <w:r>
        <w:rPr>
          <w:rFonts w:hint="eastAsia" w:ascii="仿宋" w:hAnsi="仿宋" w:eastAsia="仿宋" w:cs="仿宋_GB2312"/>
          <w:b/>
          <w:bCs/>
          <w:szCs w:val="28"/>
          <w:highlight w:val="yellow"/>
        </w:rPr>
        <w:t xml:space="preserve">，</w:t>
      </w:r>
      <w:r>
        <w:rPr>
          <w:rFonts w:ascii="仿宋" w:hAnsi="仿宋" w:eastAsia="仿宋" w:cs="仿宋_GB2312"/>
          <w:b/>
          <w:bCs/>
          <w:szCs w:val="28"/>
          <w:highlight w:val="yellow"/>
        </w:rPr>
        <w:t xml:space="preserve">则该标段第二名为中标候选人</w:t>
      </w:r>
      <w:r>
        <w:rPr>
          <w:rFonts w:hint="eastAsia" w:ascii="仿宋" w:hAnsi="仿宋" w:eastAsia="仿宋" w:cs="仿宋_GB2312"/>
          <w:b/>
          <w:bCs/>
          <w:szCs w:val="28"/>
          <w:highlight w:val="yellow"/>
        </w:rPr>
        <w:t xml:space="preserve">；如</w:t>
      </w:r>
      <w:r>
        <w:rPr>
          <w:rFonts w:ascii="仿宋" w:hAnsi="仿宋" w:eastAsia="仿宋" w:cs="仿宋_GB2312"/>
          <w:b/>
          <w:bCs/>
          <w:szCs w:val="28"/>
          <w:highlight w:val="yellow"/>
        </w:rPr>
        <w:t xml:space="preserve">第二名也超过限额，则第三名为中标候选人，以此类推。</w:t>
      </w:r>
      <w:r>
        <w:rPr>
          <w:rFonts w:hint="eastAsia" w:ascii="仿宋" w:hAnsi="仿宋" w:eastAsia="仿宋" w:cs="仿宋_GB2312"/>
          <w:b/>
          <w:bCs/>
          <w:szCs w:val="28"/>
          <w:highlight w:val="yellow"/>
          <w:lang w:val="en-US" w:eastAsia="zh-CN"/>
        </w:rPr>
        <w:t xml:space="preserve">如评标时出现综合得分一致的情况：由评标组长或采购人代表抽签确认相同得分投标单位的排名顺序，以此确定中标候选人。联合体的投标单位所提供的业绩、合作协议、人员等均以累计数量算入综合得分。</w:t>
      </w:r>
      <w:r/>
    </w:p>
    <w:p>
      <w:pPr>
        <w:pStyle w:val="734"/>
        <w:ind w:firstLine="520"/>
        <w:rPr>
          <w:rFonts w:ascii="仿宋" w:hAnsi="仿宋" w:eastAsia="仿宋" w:cs="仿宋_GB2312"/>
          <w:szCs w:val="28"/>
        </w:rPr>
      </w:pPr>
      <w:r>
        <w:rPr>
          <w:rFonts w:hint="eastAsia" w:ascii="仿宋" w:hAnsi="仿宋" w:eastAsia="仿宋" w:cs="仿宋_GB2312"/>
          <w:b/>
          <w:bCs/>
          <w:szCs w:val="28"/>
        </w:rPr>
        <w:t xml:space="preserve">★</w:t>
      </w:r>
      <w:r>
        <w:rPr>
          <w:rFonts w:hint="eastAsia" w:ascii="仿宋" w:hAnsi="仿宋" w:eastAsia="仿宋"/>
          <w:b/>
          <w:bCs/>
        </w:rPr>
        <w:t xml:space="preserve">本项目为固定总价，根据相关规定，本项目不享受价格扣除。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三、服务内容及实施要求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（一）实体运营民政工作站，开展民政相关事务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1、在乡镇（街道）和民政部门指导下运营所在标段民政工作站，协助开展档案管理、困难救助对象摸排申报等民政相关事务。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2、协助民政部门对社会救助对象、适老化改造等养老服务需求对象进行经济状况复核评估，完善服务对象档案。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3、畅通社会救助对象诉求与政府职能部门渠道，协助解决社会救助对象实际困难。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4、运营期间，每月通过民政工作站将乡镇（街道）80周岁以上老年人数以及其他服务对象人数、</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人数等信息报送至兴化民政综合监管平台，同时抄送乡镇（街道）民政工作负责人。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（二）开展居家养老上门服务并对服务对象身体能力状况评价和服务需求调查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1、根据民政部门提供的服务对象名单和服务标准分类实施居家养老上门服务。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①普惠高龄老人：具有兴化市户籍、居住在本市范围内80周岁及以上的老年人，</w:t>
      </w:r>
      <w:r>
        <w:rPr>
          <w:rFonts w:hint="eastAsia" w:ascii="仿宋" w:hAnsi="仿宋" w:eastAsia="仿宋" w:cs="仿宋"/>
          <w:b/>
          <w:bCs/>
          <w:sz w:val="28"/>
          <w:szCs w:val="28"/>
          <w:highlight w:val="yellow"/>
        </w:rPr>
        <w:t xml:space="preserve">根据个人意愿，进行申请，村委会同意</w:t>
      </w:r>
      <w:r>
        <w:rPr>
          <w:rFonts w:hint="eastAsia" w:ascii="仿宋" w:hAnsi="仿宋" w:eastAsia="仿宋" w:cs="仿宋"/>
          <w:sz w:val="28"/>
          <w:szCs w:val="28"/>
        </w:rPr>
        <w:t xml:space="preserve">。</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②政府保障经济困难老年人：具有兴化市户籍且实际居住在本市范围内的，最低生活保障家庭中60周岁以上的</w:t>
      </w:r>
      <w:r>
        <w:rPr>
          <w:rFonts w:hint="eastAsia" w:ascii="仿宋" w:hAnsi="仿宋" w:eastAsia="仿宋" w:cs="仿宋"/>
          <w:b/>
          <w:bCs/>
          <w:sz w:val="28"/>
          <w:szCs w:val="28"/>
          <w:highlight w:val="yellow"/>
        </w:rPr>
        <w:t xml:space="preserve">重度失能、完全失能</w:t>
      </w:r>
      <w:r>
        <w:rPr>
          <w:rFonts w:hint="eastAsia" w:ascii="仿宋" w:hAnsi="仿宋" w:eastAsia="仿宋" w:cs="仿宋"/>
          <w:sz w:val="28"/>
          <w:szCs w:val="28"/>
        </w:rPr>
        <w:t xml:space="preserve">老年人；低保对象和分散供养特困人员中80周岁及以上的高龄老年人。</w:t>
      </w:r>
      <w:r/>
    </w:p>
    <w:p>
      <w:pPr>
        <w:pStyle w:val="734"/>
        <w:ind w:firstLine="560"/>
        <w:spacing w:line="560" w:lineRule="exact"/>
        <w:rPr>
          <w:rFonts w:ascii="仿宋" w:hAnsi="仿宋" w:eastAsia="仿宋" w:cs="仿宋"/>
          <w:szCs w:val="28"/>
        </w:rPr>
      </w:pPr>
      <w:r>
        <w:rPr>
          <w:rFonts w:hint="eastAsia" w:ascii="仿宋" w:hAnsi="仿宋" w:eastAsia="仿宋" w:cs="仿宋"/>
          <w:szCs w:val="28"/>
        </w:rPr>
        <w:t xml:space="preserve">③</w:t>
      </w:r>
      <w:r>
        <w:rPr>
          <w:rFonts w:hint="eastAsia" w:ascii="仿宋" w:hAnsi="仿宋" w:eastAsia="仿宋" w:cs="仿宋"/>
          <w:szCs w:val="28"/>
        </w:rPr>
        <w:t xml:space="preserve">特殊困难老年人，分为 A、B、C 三类人群。A 类: 80 周岁以上高龄的空巢独居老年人，低保家庭中失能、半失能的空巢独居老年人，计划生育特殊家庭中独居、失能、半失能老年人等特殊困难老年人。B类: 年龄未到 80 周岁高龄但身体有重残重病的独居老人，两位老年人共同居住且其中一方为失能 (失智）、残疾、重病的老年人，长期照料失能 (失智）、患重大疾病子女的老年人。C类: 其他特殊困难老年人，。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④其他政府购买服务对象：根据相关政策和高质量考核要求另行确定的服务对象。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以上三类对象身份重合的，按最高补贴标准计算，不重复享受补贴。有下列情形之一的不能享受居家养老服务政策：①入住养老机构以及医疗机构的；②已经享受政府购买服务其它补贴的老人。</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服务内容及时长：</w:t>
      </w:r>
      <w:r/>
    </w:p>
    <w:p>
      <w:pPr>
        <w:spacing w:line="440" w:lineRule="exact"/>
        <w:rPr>
          <w:rFonts w:ascii="仿宋" w:hAnsi="仿宋" w:eastAsia="仿宋" w:cs="仿宋"/>
          <w:sz w:val="28"/>
          <w:szCs w:val="28"/>
        </w:rPr>
      </w:pPr>
      <w:r>
        <w:rPr>
          <w:rFonts w:ascii="仿宋" w:hAnsi="仿宋" w:eastAsia="仿宋" w:cs="仿宋"/>
          <w:sz w:val="28"/>
          <w:szCs w:val="28"/>
        </w:rPr>
      </w:r>
      <w:r/>
    </w:p>
    <w:tbl>
      <w:tblPr>
        <w:tblStyle w:val="686"/>
        <w:tblW w:w="9855" w:type="dxa"/>
        <w:tblInd w:w="96" w:type="dxa"/>
        <w:tblLayout w:type="autofit"/>
        <w:tblCellMar>
          <w:left w:w="108" w:type="dxa"/>
          <w:top w:w="0" w:type="dxa"/>
          <w:right w:w="108" w:type="dxa"/>
          <w:bottom w:w="0" w:type="dxa"/>
        </w:tblCellMar>
        <w:tblLook w:val="04A0" w:firstRow="1" w:lastRow="0" w:firstColumn="1" w:lastColumn="0" w:noHBand="0" w:noVBand="1"/>
      </w:tblPr>
      <w:tblGrid>
        <w:gridCol w:w="1576"/>
        <w:gridCol w:w="991"/>
        <w:gridCol w:w="1662"/>
        <w:gridCol w:w="793"/>
        <w:gridCol w:w="793"/>
        <w:gridCol w:w="4040"/>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1576"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类别</w:t>
            </w:r>
            <w:r/>
          </w:p>
        </w:tc>
        <w:tc>
          <w:tcPr>
            <w:shd w:val="clear" w:color="auto" w:fill="auto"/>
            <w:tcBorders>
              <w:top w:val="single" w:color="auto" w:sz="12"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1662"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服务内容</w:t>
            </w:r>
            <w:r/>
          </w:p>
        </w:tc>
        <w:tc>
          <w:tcPr>
            <w:shd w:val="clear" w:color="auto" w:fill="auto"/>
            <w:tcBorders>
              <w:top w:val="single" w:color="auto" w:sz="12" w:space="0"/>
              <w:left w:val="single" w:color="auto" w:sz="4" w:space="0"/>
              <w:bottom w:val="single" w:color="auto" w:sz="4" w:space="0"/>
              <w:right w:val="single" w:color="auto" w:sz="4" w:space="0"/>
            </w:tcBorders>
            <w:tcW w:w="793" w:type="dxa"/>
            <w:vAlign w:val="center"/>
            <w:textDirection w:val="lrTb"/>
            <w:noWrap w:val="false"/>
          </w:tcPr>
          <w:p>
            <w:pPr>
              <w:jc w:val="center"/>
              <w:keepNext/>
              <w:widowControl/>
              <w:rPr>
                <w:rFonts w:ascii="仿宋" w:hAnsi="仿宋" w:eastAsia="仿宋" w:cs="仿宋"/>
                <w:b/>
                <w:color w:val="000000"/>
                <w:sz w:val="28"/>
                <w:szCs w:val="28"/>
                <w:lang w:bidi="ar"/>
              </w:rPr>
            </w:pPr>
            <w:r>
              <w:rPr>
                <w:rFonts w:hint="eastAsia" w:ascii="仿宋" w:hAnsi="仿宋" w:eastAsia="仿宋" w:cs="仿宋"/>
                <w:b/>
                <w:color w:val="000000"/>
                <w:sz w:val="28"/>
                <w:szCs w:val="28"/>
                <w:lang w:bidi="ar"/>
              </w:rPr>
              <w:t xml:space="preserve">时长</w:t>
            </w:r>
            <w:r/>
          </w:p>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（分钟）</w:t>
            </w:r>
            <w:r/>
          </w:p>
        </w:tc>
        <w:tc>
          <w:tcPr>
            <w:shd w:val="clear" w:color="auto" w:fill="auto"/>
            <w:tcBorders>
              <w:top w:val="single" w:color="auto" w:sz="12"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费用</w:t>
            </w:r>
            <w:r/>
          </w:p>
        </w:tc>
        <w:tc>
          <w:tcPr>
            <w:shd w:val="clear" w:color="auto" w:fill="auto"/>
            <w:tcBorders>
              <w:top w:val="single" w:color="auto" w:sz="12" w:space="0"/>
              <w:left w:val="single" w:color="auto" w:sz="4" w:space="0"/>
              <w:bottom w:val="single" w:color="auto" w:sz="4" w:space="0"/>
              <w:right w:val="single" w:color="auto" w:sz="12" w:space="0"/>
            </w:tcBorders>
            <w:tcW w:w="4040" w:type="dxa"/>
            <w:vAlign w:val="center"/>
            <w:textDirection w:val="lrTb"/>
            <w:noWrap/>
          </w:tcPr>
          <w:p>
            <w:pPr>
              <w:jc w:val="center"/>
              <w:keepNext/>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服务要求</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个人照料</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量血压</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电子血压计为老人量血压，结果仅供老人参考</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温水、洗发液洗发，包括头部按摩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理发</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为老人理发（包括修面）</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泡脚</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温水为老人泡脚洗脚</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剪脚趾甲</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专用修剪工具为老人剪脚趾甲</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剪手指甲</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指甲钳为老人剪指甲</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协助子女为老人洗浴</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保健按摩</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包括背部、腿部、臂部按摩。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助急代办</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代办代购</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代买各类医品、生活物资，代办各类手续、代缴费用</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送诊接诊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接送老人就医（需与子女达成协议）</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助医助诊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房颤筛查、</w:t>
            </w:r>
            <w:r>
              <w:rPr>
                <w:rFonts w:ascii="仿宋" w:hAnsi="仿宋" w:eastAsia="仿宋" w:cs="仿宋"/>
                <w:color w:val="000000"/>
                <w:sz w:val="28"/>
                <w:szCs w:val="28"/>
                <w:lang w:bidi="ar"/>
              </w:rPr>
              <w:t xml:space="preserve">血糖</w:t>
            </w:r>
            <w:r>
              <w:rPr>
                <w:rFonts w:hint="eastAsia" w:ascii="仿宋" w:hAnsi="仿宋" w:eastAsia="仿宋" w:cs="仿宋"/>
                <w:color w:val="000000"/>
                <w:sz w:val="28"/>
                <w:szCs w:val="28"/>
                <w:lang w:bidi="ar"/>
              </w:rPr>
              <w:t xml:space="preserve">检测</w:t>
            </w:r>
            <w:r>
              <w:rPr>
                <w:rFonts w:ascii="仿宋" w:hAnsi="仿宋" w:eastAsia="仿宋" w:cs="仿宋"/>
                <w:color w:val="000000"/>
                <w:sz w:val="28"/>
                <w:szCs w:val="28"/>
                <w:lang w:bidi="ar"/>
              </w:rPr>
              <w:t xml:space="preserve">、中医</w:t>
            </w:r>
            <w:r>
              <w:rPr>
                <w:rFonts w:hint="eastAsia" w:ascii="仿宋" w:hAnsi="仿宋" w:eastAsia="仿宋" w:cs="仿宋"/>
                <w:color w:val="000000"/>
                <w:sz w:val="28"/>
                <w:szCs w:val="28"/>
                <w:lang w:val="en-US" w:eastAsia="zh-CN" w:bidi="ar"/>
              </w:rPr>
              <w:t xml:space="preserve">体质</w:t>
            </w:r>
            <w:r>
              <w:rPr>
                <w:rFonts w:ascii="仿宋" w:hAnsi="仿宋" w:eastAsia="仿宋" w:cs="仿宋"/>
                <w:color w:val="000000"/>
                <w:sz w:val="28"/>
                <w:szCs w:val="28"/>
                <w:lang w:bidi="ar"/>
              </w:rPr>
              <w:t xml:space="preserve">辨识、体格</w:t>
            </w:r>
            <w:r>
              <w:rPr>
                <w:rFonts w:hint="eastAsia" w:ascii="仿宋" w:hAnsi="仿宋" w:eastAsia="仿宋" w:cs="仿宋"/>
                <w:color w:val="000000"/>
                <w:sz w:val="28"/>
                <w:szCs w:val="28"/>
                <w:lang w:bidi="ar"/>
              </w:rPr>
              <w:t xml:space="preserve">检查</w:t>
            </w:r>
            <w:r>
              <w:rPr>
                <w:rFonts w:ascii="仿宋" w:hAnsi="仿宋" w:eastAsia="仿宋" w:cs="仿宋"/>
                <w:color w:val="000000"/>
                <w:sz w:val="28"/>
                <w:szCs w:val="28"/>
                <w:lang w:bidi="ar"/>
              </w:rPr>
              <w:t xml:space="preserve">（视力、听力、口腔、胸部、腹部</w:t>
            </w:r>
            <w:r>
              <w:rPr>
                <w:rFonts w:hint="eastAsia" w:ascii="仿宋" w:hAnsi="仿宋" w:eastAsia="仿宋" w:cs="仿宋"/>
                <w:color w:val="000000"/>
                <w:sz w:val="28"/>
                <w:szCs w:val="28"/>
                <w:lang w:bidi="ar"/>
              </w:rPr>
              <w:t xml:space="preserve">、</w:t>
            </w:r>
            <w:r>
              <w:rPr>
                <w:rFonts w:hint="eastAsia" w:ascii="仿宋" w:hAnsi="仿宋" w:eastAsia="仿宋" w:cs="仿宋"/>
                <w:color w:val="000000"/>
                <w:sz w:val="28"/>
                <w:szCs w:val="28"/>
                <w:lang w:val="en-US" w:eastAsia="zh-CN" w:bidi="ar"/>
              </w:rPr>
              <w:t xml:space="preserve">四肢、</w:t>
            </w:r>
            <w:r>
              <w:rPr>
                <w:rFonts w:ascii="仿宋" w:hAnsi="仿宋" w:eastAsia="仿宋" w:cs="仿宋"/>
                <w:color w:val="000000"/>
                <w:sz w:val="28"/>
                <w:szCs w:val="28"/>
                <w:lang w:bidi="ar"/>
              </w:rPr>
              <w:t xml:space="preserve">神经</w:t>
            </w:r>
            <w:r>
              <w:rPr>
                <w:rFonts w:hint="eastAsia" w:ascii="仿宋" w:hAnsi="仿宋" w:eastAsia="仿宋" w:cs="仿宋"/>
                <w:color w:val="000000"/>
                <w:sz w:val="28"/>
                <w:szCs w:val="28"/>
                <w:lang w:val="en-US" w:eastAsia="zh-CN" w:bidi="ar"/>
              </w:rPr>
              <w:t xml:space="preserve">系统</w:t>
            </w:r>
            <w:r>
              <w:rPr>
                <w:rFonts w:hint="eastAsia" w:ascii="仿宋" w:hAnsi="仿宋" w:eastAsia="仿宋" w:cs="仿宋"/>
                <w:color w:val="000000"/>
                <w:sz w:val="28"/>
                <w:szCs w:val="28"/>
                <w:lang w:bidi="ar"/>
              </w:rPr>
              <w:t xml:space="preserve">检查</w:t>
            </w:r>
            <w:r>
              <w:rPr>
                <w:rFonts w:ascii="仿宋" w:hAnsi="仿宋" w:eastAsia="仿宋" w:cs="仿宋"/>
                <w:color w:val="000000"/>
                <w:sz w:val="28"/>
                <w:szCs w:val="28"/>
                <w:lang w:bidi="ar"/>
              </w:rPr>
              <w:t xml:space="preserve">）</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助餐服务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rPr>
                <w:rFonts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助餐送餐</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每月</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帮老年人制作餐食、配送餐食，累计30次，记1次工单</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个人保洁</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rPr>
                <w:rFonts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洗涤衣物</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帮老人洗涤衣裤鞋袜等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洗涤被褥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帮老人洗涤床单被套、窗帘等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防疫消毒</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居家防疫84消毒，开窗通风等</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家庭保洁</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居室保洁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全屋扫地、拖地</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厨房保洁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厨房打扫，擦拭油烟机、灶台，清洗锅碗瓢盆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卫浴保洁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卫生间消毒打扫，马桶浴间浴盆除垢</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庭院保洁</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为有院子的老人打扫整理庭院，清理杂物。</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全屋除尘</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用鸡毛掸、抹布为全屋打扫除尘</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家政服务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杂物整理</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根据老人需求，帮助整理、清除杂物等家务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家庭安检</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用电、用火、用气，建筑安全检查</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水电维修</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简单修理家具、水电，疏通下水道</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精神慰藉</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情感陪聊</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通过谈心交流，排解老人孤独情绪</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排忧助乐</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了解老人困难，协助解决</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讲解助学</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帮助老人学习智能手机、智能电视使用知识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读书读报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读书读报，宣讲政策新闻、普及疫情防控知识</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助行助健</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val="false"/>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陪老人散步，健身。</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textDirection w:val="lrTb"/>
            <w:noWrap w:val="false"/>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个性服务</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按需预约</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根据老人个性实际需求，报备监管平台同意后实施</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restart"/>
            <w:textDirection w:val="lrTb"/>
            <w:noWrap w:val="false"/>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自费项目</w:t>
            </w:r>
            <w:r/>
          </w:p>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（由联盟商家提供，需预约）</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专业足浴+修脚</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专业修脚师上门服务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专业清洗油烟机</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120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专业家政人员上门服务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携带器械上门助浴</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150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至少2名助浴师携带器械上门服务，需家人在场</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个性陪护服务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每小时</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日间照料、家庭陪护等服务，按实际时长收费</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专业家电维修</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市场价</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根据实际情况按市场价双方定价收费</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专业推拿</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45</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专业按摩师上门服务</w:t>
            </w:r>
            <w:r/>
          </w:p>
        </w:tc>
      </w:tr>
      <w:tr>
        <w:trPr/>
        <w:tc>
          <w:tcPr>
            <w:shd w:val="clear" w:color="auto" w:fill="auto"/>
            <w:tcBorders>
              <w:top w:val="single" w:color="auto" w:sz="4" w:space="0"/>
              <w:left w:val="single" w:color="auto" w:sz="12" w:space="0"/>
              <w:bottom w:val="single" w:color="auto" w:sz="4" w:space="0"/>
              <w:right w:val="single" w:color="auto" w:sz="4" w:space="0"/>
            </w:tcBorders>
            <w:tcW w:w="1576" w:type="dxa"/>
            <w:vAlign w:val="center"/>
            <w:vMerge w:val="continue"/>
            <w:textDirection w:val="lrTb"/>
            <w:noWrap w:val="false"/>
          </w:tcPr>
          <w:p>
            <w:pPr>
              <w:jc w:val="center"/>
              <w:keepNext/>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1662" w:type="dxa"/>
            <w:vAlign w:val="center"/>
            <w:textDirection w:val="lrTb"/>
            <w:noWrap/>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探访服务</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每月</w:t>
            </w:r>
            <w:r/>
          </w:p>
        </w:tc>
        <w:tc>
          <w:tcPr>
            <w:shd w:val="clear" w:color="auto" w:fill="auto"/>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30</w:t>
            </w:r>
            <w:r/>
          </w:p>
        </w:tc>
        <w:tc>
          <w:tcPr>
            <w:shd w:val="clear" w:color="auto" w:fill="auto"/>
            <w:tcBorders>
              <w:top w:val="single" w:color="auto" w:sz="4" w:space="0"/>
              <w:left w:val="single" w:color="auto" w:sz="4" w:space="0"/>
              <w:bottom w:val="single" w:color="auto" w:sz="4" w:space="0"/>
              <w:right w:val="single" w:color="auto" w:sz="12" w:space="0"/>
            </w:tcBorders>
            <w:tcW w:w="4040" w:type="dxa"/>
            <w:vAlign w:val="center"/>
            <w:textDirection w:val="lrTb"/>
            <w:noWrap/>
          </w:tcPr>
          <w:p>
            <w:pPr>
              <w:jc w:val="left"/>
              <w:keepNext/>
              <w:widowControl/>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对特殊困难老人探访关爱服务</w:t>
            </w:r>
            <w:r/>
          </w:p>
        </w:tc>
      </w:tr>
      <w:tr>
        <w:trPr/>
        <w:tc>
          <w:tcPr>
            <w:shd w:val="clear" w:color="auto" w:fill="auto"/>
            <w:tcBorders>
              <w:top w:val="single" w:color="auto" w:sz="4" w:space="0"/>
              <w:left w:val="single" w:color="auto" w:sz="12" w:space="0"/>
              <w:bottom w:val="single" w:color="auto" w:sz="12" w:space="0"/>
              <w:right w:val="single" w:color="auto" w:sz="12" w:space="0"/>
            </w:tcBorders>
            <w:tcW w:w="1576" w:type="dxa"/>
            <w:vAlign w:val="center"/>
            <w:textDirection w:val="lrTb"/>
            <w:noWrap w:val="false"/>
          </w:tcPr>
          <w:p>
            <w:pPr>
              <w:jc w:val="center"/>
              <w:keepNext/>
              <w:rPr>
                <w:rFonts w:ascii="仿宋" w:hAnsi="仿宋" w:eastAsia="仿宋" w:cs="仿宋"/>
                <w:color w:val="000000"/>
                <w:sz w:val="28"/>
                <w:szCs w:val="28"/>
                <w:lang w:bidi="ar"/>
              </w:rPr>
            </w:pPr>
            <w:r>
              <w:rPr>
                <w:rFonts w:ascii="仿宋" w:hAnsi="仿宋" w:eastAsia="仿宋" w:cs="仿宋"/>
                <w:color w:val="000000"/>
                <w:sz w:val="28"/>
                <w:szCs w:val="28"/>
                <w:lang w:bidi="ar"/>
              </w:rPr>
            </w:r>
            <w:r/>
          </w:p>
        </w:tc>
        <w:tc>
          <w:tcPr>
            <w:shd w:val="clear" w:color="auto" w:fill="auto"/>
            <w:tcBorders>
              <w:top w:val="single" w:color="auto" w:sz="4" w:space="0"/>
              <w:left w:val="single" w:color="auto" w:sz="12" w:space="0"/>
              <w:bottom w:val="single" w:color="auto" w:sz="12" w:space="0"/>
              <w:right w:val="single" w:color="auto" w:sz="12" w:space="0"/>
            </w:tcBorders>
            <w:tcW w:w="991" w:type="dxa"/>
            <w:vAlign w:val="center"/>
            <w:textDirection w:val="lrTb"/>
            <w:noWrap w:val="false"/>
          </w:tcPr>
          <w:p>
            <w:pPr>
              <w:jc w:val="center"/>
              <w:keepNext/>
              <w:widowControl/>
            </w:pPr>
            <w:r>
              <w:rPr>
                <w:rFonts w:hint="eastAsia" w:ascii="仿宋" w:hAnsi="仿宋" w:eastAsia="仿宋" w:cs="仿宋"/>
                <w:color w:val="000000"/>
                <w:sz w:val="28"/>
                <w:szCs w:val="28"/>
                <w:lang w:bidi="ar"/>
              </w:rPr>
              <w:t xml:space="preserve">37</w:t>
            </w:r>
            <w:r/>
          </w:p>
        </w:tc>
        <w:tc>
          <w:tcPr>
            <w:shd w:val="clear" w:color="auto" w:fill="auto"/>
            <w:tcBorders>
              <w:top w:val="single" w:color="auto" w:sz="4" w:space="0"/>
              <w:left w:val="single" w:color="auto" w:sz="12" w:space="0"/>
              <w:bottom w:val="single" w:color="auto" w:sz="12" w:space="0"/>
              <w:right w:val="single" w:color="auto" w:sz="12" w:space="0"/>
            </w:tcBorders>
            <w:tcW w:w="1662" w:type="dxa"/>
            <w:vAlign w:val="center"/>
            <w:textDirection w:val="lrTb"/>
            <w:noWrap w:val="false"/>
          </w:tcPr>
          <w:p>
            <w:pPr>
              <w:jc w:val="left"/>
              <w:keepNext/>
              <w:widowControl/>
            </w:pPr>
            <w:r>
              <w:rPr>
                <w:rFonts w:hint="eastAsia" w:ascii="仿宋" w:hAnsi="仿宋" w:eastAsia="仿宋" w:cs="仿宋"/>
                <w:color w:val="000000"/>
                <w:sz w:val="28"/>
                <w:szCs w:val="28"/>
                <w:lang w:bidi="ar"/>
              </w:rPr>
              <w:t xml:space="preserve">其他</w:t>
            </w:r>
            <w:r/>
          </w:p>
        </w:tc>
        <w:tc>
          <w:tcPr>
            <w:shd w:val="clear" w:color="auto" w:fill="auto"/>
            <w:tcBorders>
              <w:top w:val="single" w:color="auto" w:sz="4" w:space="0"/>
              <w:left w:val="single" w:color="auto" w:sz="12" w:space="0"/>
              <w:bottom w:val="single" w:color="auto" w:sz="12" w:space="0"/>
              <w:right w:val="single" w:color="auto" w:sz="12" w:space="0"/>
            </w:tcBorders>
            <w:tcW w:w="793" w:type="dxa"/>
            <w:vAlign w:val="center"/>
            <w:textDirection w:val="lrTb"/>
            <w:noWrap w:val="false"/>
          </w:tcPr>
          <w:p>
            <w:pPr>
              <w:jc w:val="center"/>
              <w:keepNext/>
              <w:widowControl/>
            </w:pPr>
            <w:r/>
            <w:r/>
          </w:p>
        </w:tc>
        <w:tc>
          <w:tcPr>
            <w:shd w:val="clear" w:color="auto" w:fill="auto"/>
            <w:tcBorders>
              <w:top w:val="single" w:color="auto" w:sz="4" w:space="0"/>
              <w:left w:val="single" w:color="auto" w:sz="12" w:space="0"/>
              <w:bottom w:val="single" w:color="auto" w:sz="12" w:space="0"/>
              <w:right w:val="single" w:color="auto" w:sz="12" w:space="0"/>
            </w:tcBorders>
            <w:tcW w:w="793" w:type="dxa"/>
            <w:vAlign w:val="center"/>
            <w:textDirection w:val="lrTb"/>
            <w:noWrap w:val="false"/>
          </w:tcPr>
          <w:p>
            <w:pPr>
              <w:jc w:val="center"/>
              <w:keepNext/>
              <w:widowControl/>
            </w:pPr>
            <w:r/>
            <w:r/>
          </w:p>
        </w:tc>
        <w:tc>
          <w:tcPr>
            <w:shd w:val="clear" w:color="auto" w:fill="auto"/>
            <w:tcBorders>
              <w:top w:val="single" w:color="auto" w:sz="4" w:space="0"/>
              <w:left w:val="single" w:color="auto" w:sz="12" w:space="0"/>
              <w:bottom w:val="single" w:color="auto" w:sz="12" w:space="0"/>
              <w:right w:val="single" w:color="auto" w:sz="12" w:space="0"/>
            </w:tcBorders>
            <w:tcW w:w="4040" w:type="dxa"/>
            <w:vAlign w:val="center"/>
            <w:textDirection w:val="lrTb"/>
            <w:noWrap w:val="false"/>
          </w:tcPr>
          <w:p>
            <w:pPr>
              <w:jc w:val="left"/>
              <w:keepNext/>
              <w:widowControl/>
            </w:pPr>
            <w:r>
              <w:rPr>
                <w:rFonts w:hint="eastAsia" w:ascii="仿宋" w:hAnsi="仿宋" w:eastAsia="仿宋" w:cs="仿宋"/>
                <w:color w:val="000000"/>
                <w:sz w:val="28"/>
                <w:szCs w:val="28"/>
                <w:lang w:bidi="ar"/>
              </w:rPr>
              <w:t xml:space="preserve">根据民政工作需要视情况开展</w:t>
            </w:r>
            <w:r/>
          </w:p>
        </w:tc>
      </w:tr>
    </w:tbl>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根据服务对象实际需求可组合成套餐，服务内容不限于以上内容，民政部门可根据服务过程中老人实际需求进行增减和调整。</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*中标单位承诺在开展居家养老上门服务的基础上，通过专业化团队或链接专业化服务资源，拓展市场化服务工单，为特需服务对象提供的自费服务项目，收费需得到服务对象认可后方可实施。</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普惠高龄老人：每人每月服务标准30元；</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政府保障经济困难老年人：</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最低生活保障家庭中60周岁以上的重度失能、完全失能老年人，每人每月服务标准100元；低保对象和分散供养特困人员中 80 周岁及以上的高龄老年人，每人每月不低于 60 元的养老服务护理补贴标准。</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分散供养特困供养半失能老年人，每人每月服务标准280元；分散供养特困供养失能老年人，每人每月服务标准560元；其他政府保障对象服务标准按相关规定执行。（由中标单位，经申请市民政局同意后，实施开展居家上门服务，服务要求和每月服务次数以及服务金额，根据相关考核要求适时调整。）</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为服务对象进行身体能力状况评价（评估）和服务需求调查。对服务对象按照一人一档的要求，建立包括基础信息、社会关系、健康状况、特殊需求、身体能力等纸质或电子档案。</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（三）关爱探访服务</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在民政部门的要求下，对片区内重点空巢独居老年人全面建立信息台账，落实定期巡访制度。通过上门走访、电话、视频连线等形式，对A类、B类、C类老人进行探访关爱活动。对于A类特殊困难老年人，每周至少2次上门探访,2次电话或者视频问候；对于B类特殊困难老年人，每周至少1次上门探访，1次电话或者视频问候;对于C类特殊困难老年人每周至少1次上门探访。根据市民政局要求，在特殊恶劣天气对重点空巢独居老人进行探访，依据探访成效，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进行绩效考核。</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（四）农村养老服务设施建设及运营</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1、根据实际情况和需求，可承接镇村居家养老服务中心（睦邻点）实体化运营，为社区老人提供居家社区养老服务。承接乡镇（街道）村居家养老服务中心（睦邻点）运营，可不限于所中标段的乡镇（街道）。</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2、协助乡镇开展老年人助餐、配餐工作，累计助餐30次记1次工单，</w:t>
      </w:r>
      <w:r>
        <w:rPr>
          <w:rFonts w:hint="eastAsia" w:ascii="仿宋" w:hAnsi="仿宋" w:eastAsia="仿宋" w:cs="仿宋"/>
          <w:b/>
          <w:bCs/>
          <w:sz w:val="28"/>
          <w:szCs w:val="28"/>
        </w:rPr>
        <w:t xml:space="preserve">助餐、制餐的工单不低于总工单的5%</w:t>
      </w:r>
      <w:r>
        <w:rPr>
          <w:rFonts w:hint="eastAsia" w:ascii="仿宋" w:hAnsi="仿宋" w:eastAsia="仿宋" w:cs="仿宋"/>
          <w:sz w:val="28"/>
          <w:szCs w:val="28"/>
        </w:rPr>
        <w:t xml:space="preserve">。（后期助餐工作，视具体按实际情况要求落实）。助餐、配餐工作可不限于所中标段乡镇（街道）</w:t>
      </w:r>
      <w:r/>
    </w:p>
    <w:p>
      <w:pPr>
        <w:ind w:firstLine="516"/>
        <w:spacing w:line="560" w:lineRule="exact"/>
        <w:rPr>
          <w:rFonts w:ascii="仿宋" w:hAnsi="仿宋" w:eastAsia="仿宋" w:cs="仿宋"/>
          <w:sz w:val="28"/>
          <w:szCs w:val="28"/>
        </w:rPr>
      </w:pPr>
      <w:r>
        <w:rPr>
          <w:rFonts w:hint="eastAsia" w:ascii="仿宋" w:hAnsi="仿宋" w:eastAsia="仿宋" w:cs="仿宋"/>
          <w:sz w:val="28"/>
          <w:szCs w:val="28"/>
        </w:rPr>
        <w:t xml:space="preserve">3、根据民政部门要求，需协助运营其服务区域内建成的“乡村互助养老睦邻点”。</w:t>
      </w:r>
      <w:r/>
    </w:p>
    <w:p>
      <w:pPr>
        <w:ind w:firstLine="516"/>
        <w:jc w:val="left"/>
        <w:spacing w:line="560" w:lineRule="exact"/>
        <w:rPr>
          <w:rFonts w:ascii="仿宋" w:hAnsi="仿宋" w:eastAsia="仿宋" w:cs="仿宋"/>
          <w:sz w:val="28"/>
          <w:szCs w:val="28"/>
        </w:rPr>
      </w:pPr>
      <w:r>
        <w:rPr>
          <w:rFonts w:hint="eastAsia" w:ascii="仿宋" w:hAnsi="仿宋" w:eastAsia="仿宋" w:cs="仿宋"/>
          <w:sz w:val="28"/>
          <w:szCs w:val="28"/>
        </w:rPr>
        <w:t xml:space="preserve">4、承接实体化运营养老服务设施通过考核，同等享受民政部门规定的奖补政策（可查看兴化市重点领域信息公开内容中养老服务部分</w:t>
      </w:r>
      <w:r>
        <w:fldChar w:fldCharType="begin"/>
      </w:r>
      <w:r>
        <w:instrText xml:space="preserve"> HYPERLINK "http://www.xinghua.gov.cn/col/col64559/index.html" </w:instrText>
      </w:r>
      <w:r>
        <w:fldChar w:fldCharType="separate"/>
      </w:r>
      <w:r>
        <w:rPr>
          <w:rStyle w:val="730"/>
          <w:rFonts w:hint="eastAsia" w:ascii="仿宋" w:hAnsi="仿宋" w:eastAsia="仿宋" w:cs="仿宋"/>
          <w:sz w:val="28"/>
          <w:szCs w:val="28"/>
        </w:rPr>
        <w:t xml:space="preserve">http://www.xinghua.gov.cn/col/col64559/index.html</w:t>
      </w:r>
      <w:r>
        <w:rPr>
          <w:rStyle w:val="730"/>
          <w:rFonts w:hint="eastAsia" w:ascii="仿宋" w:hAnsi="仿宋" w:eastAsia="仿宋" w:cs="仿宋"/>
          <w:sz w:val="28"/>
          <w:szCs w:val="28"/>
        </w:rPr>
        <w:fldChar w:fldCharType="end"/>
      </w:r>
      <w:r>
        <w:rPr>
          <w:rFonts w:hint="eastAsia" w:ascii="仿宋" w:hAnsi="仿宋" w:eastAsia="仿宋" w:cs="仿宋"/>
          <w:sz w:val="28"/>
          <w:szCs w:val="28"/>
        </w:rPr>
        <w:t xml:space="preserve">，具体奖补需与市民政局提前沟通确认）。</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t xml:space="preserve">合同履行期限</w:t>
      </w:r>
      <w:r>
        <w:rPr>
          <w:rFonts w:hint="eastAsia" w:ascii="仿宋" w:hAnsi="仿宋" w:eastAsia="仿宋" w:cs="仿宋"/>
          <w:color w:val="000000"/>
          <w:sz w:val="28"/>
          <w:szCs w:val="28"/>
        </w:rPr>
        <w:t xml:space="preserve">：</w:t>
      </w:r>
      <w:r/>
    </w:p>
    <w:p>
      <w:pPr>
        <w:pStyle w:val="734"/>
        <w:ind w:firstLine="562"/>
        <w:rPr>
          <w:rFonts w:ascii="仿宋" w:hAnsi="仿宋" w:eastAsia="仿宋" w:cs="仿宋"/>
          <w:b/>
          <w:bCs/>
          <w:szCs w:val="28"/>
        </w:rPr>
      </w:pPr>
      <w:r>
        <w:rPr>
          <w:rFonts w:hint="eastAsia" w:ascii="仿宋" w:hAnsi="仿宋" w:eastAsia="仿宋" w:cs="仿宋"/>
          <w:b/>
          <w:bCs/>
          <w:szCs w:val="28"/>
        </w:rPr>
        <w:t xml:space="preserve">两年，合同一年度一签（考核合格，续签合同），</w:t>
      </w:r>
      <w:r>
        <w:rPr>
          <w:rFonts w:hint="eastAsia" w:ascii="仿宋" w:hAnsi="仿宋" w:eastAsia="仿宋" w:cs="仿宋"/>
          <w:b/>
          <w:bCs/>
          <w:szCs w:val="28"/>
        </w:rPr>
        <w:t xml:space="preserve">截止时间2027年12月31日。</w:t>
      </w:r>
      <w:r/>
    </w:p>
    <w:p>
      <w:pPr>
        <w:pStyle w:val="735"/>
        <w:ind w:firstLine="560"/>
        <w:rPr>
          <w:rFonts w:ascii="仿宋" w:hAnsi="仿宋" w:eastAsia="仿宋" w:cs="仿宋"/>
          <w:sz w:val="28"/>
          <w:szCs w:val="28"/>
        </w:rPr>
      </w:pPr>
      <w:r>
        <w:rPr>
          <w:rFonts w:hint="eastAsia" w:ascii="仿宋" w:hAnsi="仿宋" w:eastAsia="仿宋" w:cs="仿宋"/>
          <w:sz w:val="28"/>
          <w:szCs w:val="28"/>
        </w:rPr>
        <w:t xml:space="preserve">续签工作考核重点包括：居家上门服务、特殊困难老年人探访关爱服务、老年人助餐、居家养老服务中心、睦邻点运营、服务费的使用等高质量考核工作的成效作为考核依据。</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五、服务要求：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1、技术条款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（1）按照“阵地标准化、运行实体化、服务精准化、管理规范化”要求，推进民政工作站建设和实体化运营。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响应“高龄、经济困难失能老人养老服务保障全覆盖”的要求，加快发展养老服务事业，进一步推进养老服务社会化工作进程，提高养老服务水平，切实解决高龄、经济困难失能老人生活照料需求。对服务对象开展身体能力初评和建立个人信息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（3）根据采购人要求，与辖区内空巢独居、留守、失能、重残、计划生育特殊家庭等特殊困难老年人签订关爱探访协议并进行探访关爱服务，探访率达到100%。服务记录和探访巡查图片通过手机 App 上传至指定信息平台。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（4）根据乡镇（街道）实际情况和需求，承接居家养老服务中心常态化实体运营，按相关文件规定给予补贴，承接乡镇（街道）村居家养老服务中心运营，可不限于所中标段的乡镇（街道）。。</w:t>
      </w:r>
      <w:r/>
    </w:p>
    <w:p>
      <w:pPr>
        <w:ind w:firstLine="518"/>
        <w:spacing w:line="560" w:lineRule="exact"/>
        <w:rPr>
          <w:rFonts w:ascii="仿宋" w:hAnsi="仿宋" w:eastAsia="仿宋" w:cs="仿宋"/>
          <w:sz w:val="28"/>
          <w:szCs w:val="28"/>
          <w:highlight w:val="yellow"/>
        </w:rPr>
      </w:pPr>
      <w:r>
        <w:rPr>
          <w:rFonts w:hint="eastAsia" w:ascii="仿宋" w:hAnsi="仿宋" w:eastAsia="仿宋" w:cs="仿宋"/>
          <w:sz w:val="28"/>
          <w:szCs w:val="28"/>
        </w:rPr>
        <w:t xml:space="preserve">（5）根据采购人要求，协助乡镇</w:t>
      </w:r>
      <w:r>
        <w:rPr>
          <w:rFonts w:hint="eastAsia" w:ascii="仿宋" w:hAnsi="仿宋" w:eastAsia="仿宋" w:cs="仿宋"/>
          <w:b/>
          <w:bCs/>
          <w:sz w:val="28"/>
          <w:szCs w:val="28"/>
          <w:highlight w:val="yellow"/>
        </w:rPr>
        <w:t xml:space="preserve">常态化</w:t>
      </w:r>
      <w:r>
        <w:rPr>
          <w:rFonts w:hint="eastAsia" w:ascii="仿宋" w:hAnsi="仿宋" w:eastAsia="仿宋" w:cs="仿宋"/>
          <w:sz w:val="28"/>
          <w:szCs w:val="28"/>
        </w:rPr>
        <w:t xml:space="preserve">运营睦邻点，承接乡镇（街道）村居睦邻点运营，可不限于所中标段的乡镇（街道）。。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2、服务宗旨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（1）立足便民惠民原则。立足满足困难群众社会救助基本需求，综合利用社会资源，增进部门协同，优化救助程序，方便困难群众，打通民生保障“最后一公里”，使各项惠民救助政策走到群众身边。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丰富养老服务内容。在做好老年人服务需求调查的基础上，结合当地老年人实际，进一步丰富居家养老上门服务内容，根据大多数老年人的日常生活习惯，为老年人提供更多的服务项目菜单，组合各类服务套餐。服务内容要覆盖老年人基础性需求，积极拓展满足个性化需求，让老年人真正在居家服务中得到实惠，解决家庭养老难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提升服务人员能力。中标社会组织要对服务人员集中开展文明礼仪和业务技能的培训，培训不合格人员不得上岗，不断提高服务人员综合素质和服务形象。中标单位要配备具有从业资格的工作人员和上门服务人员，如社工、医护人员、理发师、水电工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（4）中标社会组织需按照自费服务项目，通过签约、合作、培训、链接资源等方式，配备修脚师、推拿师、助浴师、家政、电器维修等专业服务人员，并积极拓展更多的市场化服务项目。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提升精准服务水平。建立养老服务公益基金，根据特殊困难服务对象个性化需求，在做好评估的基础上，尽可能予以满足。针对不同类型老人，开展整岁生日、入党入伍入职、特殊贡献、端午中秋重阳、临终关怀等慰问关爱公益活动，提升老人幸福感、获得感，满意度。</w:t>
      </w:r>
      <w:r/>
    </w:p>
    <w:tbl>
      <w:tblPr>
        <w:tblStyle w:val="686"/>
        <w:tblW w:w="9855" w:type="dxa"/>
        <w:tblInd w:w="96" w:type="dxa"/>
        <w:tblLayout w:type="autofit"/>
        <w:tblCellMar>
          <w:left w:w="108" w:type="dxa"/>
          <w:top w:w="0" w:type="dxa"/>
          <w:right w:w="108" w:type="dxa"/>
          <w:bottom w:w="0" w:type="dxa"/>
        </w:tblCellMar>
        <w:tblLook w:val="04A0" w:firstRow="1" w:lastRow="0" w:firstColumn="1" w:lastColumn="0" w:noHBand="0" w:noVBand="1"/>
      </w:tblPr>
      <w:tblGrid>
        <w:gridCol w:w="1565"/>
        <w:gridCol w:w="780"/>
        <w:gridCol w:w="2195"/>
        <w:gridCol w:w="5315"/>
      </w:tblGrid>
      <w:tr>
        <w:trPr>
          <w:tblHeader/>
        </w:trPr>
        <w:tc>
          <w:tcPr>
            <w:shd w:val="clear" w:color="auto" w:fill="auto"/>
            <w:tcBorders>
              <w:top w:val="single" w:color="auto" w:sz="12" w:space="0"/>
              <w:left w:val="single" w:color="auto" w:sz="12" w:space="0"/>
              <w:bottom w:val="single" w:color="auto" w:sz="4" w:space="0"/>
              <w:right w:val="single" w:color="auto" w:sz="4" w:space="0"/>
            </w:tcBorders>
            <w:tcW w:w="156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类别</w:t>
            </w:r>
            <w:r/>
          </w:p>
        </w:tc>
        <w:tc>
          <w:tcPr>
            <w:shd w:val="clear" w:color="auto" w:fill="auto"/>
            <w:tcBorders>
              <w:top w:val="single" w:color="auto" w:sz="12"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序号</w:t>
            </w:r>
            <w:r/>
          </w:p>
        </w:tc>
        <w:tc>
          <w:tcPr>
            <w:shd w:val="clear" w:color="auto" w:fill="auto"/>
            <w:tcBorders>
              <w:top w:val="single" w:color="auto" w:sz="12" w:space="0"/>
              <w:left w:val="single" w:color="auto" w:sz="4" w:space="0"/>
              <w:bottom w:val="single" w:color="auto" w:sz="4" w:space="0"/>
              <w:right w:val="single" w:color="auto" w:sz="4" w:space="0"/>
            </w:tcBorders>
            <w:tcW w:w="219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服务内容</w:t>
            </w:r>
            <w:r/>
          </w:p>
        </w:tc>
        <w:tc>
          <w:tcPr>
            <w:shd w:val="clear" w:color="auto" w:fill="auto"/>
            <w:tcBorders>
              <w:top w:val="single" w:color="auto" w:sz="12" w:space="0"/>
              <w:left w:val="single" w:color="auto" w:sz="4" w:space="0"/>
              <w:bottom w:val="single" w:color="auto" w:sz="4" w:space="0"/>
              <w:right w:val="single" w:color="auto" w:sz="12" w:space="0"/>
            </w:tcBorders>
            <w:tcW w:w="5315"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lang w:bidi="ar"/>
              </w:rPr>
              <w:t xml:space="preserve">服务要求</w:t>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restart"/>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公益服务</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整岁生日慰问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restart"/>
            <w:textDirection w:val="lrTb"/>
            <w:noWrap w:val="false"/>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根据不同类型老人，服务单位在做好评估调查基础上，开展精准化公益服务。公益服务不计入工单服务费，使用资金在养老服务公益基金中支出。如需采购物品应并报备招标单位同意后实施。</w:t>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特殊纪念日慰问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特殊贡献慰问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特殊节日慰问</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4"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临终关怀</w:t>
            </w:r>
            <w:r/>
          </w:p>
        </w:tc>
        <w:tc>
          <w:tcPr>
            <w:shd w:val="clear" w:color="auto" w:fill="auto"/>
            <w:tcBorders>
              <w:top w:val="single" w:color="auto" w:sz="4" w:space="0"/>
              <w:left w:val="single" w:color="auto" w:sz="4" w:space="0"/>
              <w:bottom w:val="single" w:color="auto" w:sz="4"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r>
        <w:trPr/>
        <w:tc>
          <w:tcPr>
            <w:shd w:val="clear" w:color="auto" w:fill="auto"/>
            <w:tcBorders>
              <w:top w:val="single" w:color="auto" w:sz="4" w:space="0"/>
              <w:left w:val="single" w:color="auto" w:sz="12" w:space="0"/>
              <w:bottom w:val="single" w:color="auto" w:sz="12" w:space="0"/>
              <w:right w:val="single" w:color="auto" w:sz="4" w:space="0"/>
            </w:tcBorders>
            <w:tcW w:w="1565" w:type="dxa"/>
            <w:vAlign w:val="center"/>
            <w:vMerge w:val="continue"/>
            <w:textDirection w:val="lrTb"/>
            <w:noWrap/>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shd w:val="clear" w:color="auto" w:fill="auto"/>
            <w:tcBorders>
              <w:top w:val="single" w:color="auto" w:sz="4" w:space="0"/>
              <w:left w:val="single" w:color="auto" w:sz="4" w:space="0"/>
              <w:bottom w:val="single" w:color="auto" w:sz="12" w:space="0"/>
              <w:right w:val="single" w:color="auto" w:sz="4" w:space="0"/>
            </w:tcBorders>
            <w:tcW w:w="780"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6</w:t>
            </w:r>
            <w:r/>
          </w:p>
        </w:tc>
        <w:tc>
          <w:tcPr>
            <w:shd w:val="clear" w:color="auto" w:fill="auto"/>
            <w:tcBorders>
              <w:top w:val="single" w:color="auto" w:sz="4" w:space="0"/>
              <w:left w:val="single" w:color="auto" w:sz="4" w:space="0"/>
              <w:bottom w:val="single" w:color="auto" w:sz="12" w:space="0"/>
              <w:right w:val="single" w:color="auto" w:sz="4" w:space="0"/>
            </w:tcBorders>
            <w:tcW w:w="2195"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lang w:bidi="ar"/>
              </w:rPr>
              <w:t xml:space="preserve">其它</w:t>
            </w:r>
            <w:r/>
          </w:p>
        </w:tc>
        <w:tc>
          <w:tcPr>
            <w:shd w:val="clear" w:color="auto" w:fill="auto"/>
            <w:tcBorders>
              <w:top w:val="single" w:color="auto" w:sz="4" w:space="0"/>
              <w:left w:val="single" w:color="auto" w:sz="4" w:space="0"/>
              <w:bottom w:val="single" w:color="auto" w:sz="12" w:space="0"/>
              <w:right w:val="single" w:color="auto" w:sz="12" w:space="0"/>
            </w:tcBorders>
            <w:tcW w:w="5315" w:type="dxa"/>
            <w:vAlign w:val="center"/>
            <w:vMerge w:val="continue"/>
            <w:textDirection w:val="lrTb"/>
            <w:noWrap w:val="false"/>
          </w:tcPr>
          <w:p>
            <w:pPr>
              <w:jc w:val="left"/>
              <w:rPr>
                <w:rFonts w:ascii="仿宋" w:hAnsi="仿宋" w:eastAsia="仿宋" w:cs="仿宋"/>
                <w:color w:val="000000"/>
                <w:sz w:val="28"/>
                <w:szCs w:val="28"/>
              </w:rPr>
            </w:pPr>
            <w:r>
              <w:rPr>
                <w:rFonts w:ascii="仿宋" w:hAnsi="仿宋" w:eastAsia="仿宋" w:cs="仿宋"/>
                <w:color w:val="000000"/>
                <w:sz w:val="28"/>
                <w:szCs w:val="28"/>
              </w:rPr>
            </w:r>
            <w:r/>
          </w:p>
        </w:tc>
      </w:tr>
    </w:tbl>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3、人员要求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工作人员身体健康无残疾，形象佳，无犯罪记录和不良嗜好，工作人员年龄原则上男性不超过60周岁，女性不超过58周岁。身体健康、业务能力优秀的可以适当放宽年龄限制。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4、项目结算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次月考核结算上月服务费，以兴化民政综合监管平台统计的上月合格的服务工单数结算服务费。项目结束后依据审计和考核结果无息退还全部或相应履约保证金。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相关要求：投标组织中标后负责组建本项目的管理、服务团队，实体化运营标段内民政工作站。承诺提供服务和管理人员名单需实际服务于本项目。中标方依据采购方提供的工作目录清单和服务对象名单开展服务。</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六、中标单位内部管理职能：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中标单位应加强对员工的培训、管理，严格督导员工的行为规范，并要求员工严格执行招标方相关管理规定维护招标方整体形象。符合管理要求，共同谋划工作方案，中标单位应保持各岗位人员相对稳定，接受采购方的业务指导并执行相关要求。采购方有权参加中标单位组织的培训会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根据《中华人民共和国劳动合同法》，中标单位必须依法规范用工，符合规定条件的人员须签订劳务或临时用工协议。中标单位需根据服务质量满意度、服务覆盖率、服务对象基础信息摸排完成率准确率，以及先进事迹、优秀案例等方面，建立与服务人员工资收入相勾的考核奖惩制度，进一步推动队伍建设。 </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（5）中标单位必须为员工购买人身意外商业保险（保险范围须包括但不限于工作时间以外发生的人身意外事故），并负责办理社会保险和商业保险的理赔手续和发放保险金，并向采购人提供相关证明材料备案。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6）中标单位应建立内部人员聘用、培训、管理、考核与奖惩等制度。因中标单位原因或工作人员工作失职或故意行为或违法犯罪行为造成采购方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7）应急和安全保障措施：中标单位要有稳定合作的医疗卫生服务机构或医疗团队，在服务过程中遇到老人突发昏倒、摔倒等紧急情况下有较好的应变能力，及时拨打120急救电话并通知医疗团队，保留现场的录音、照片或视频等证据作为必要的物证资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8）沟通协作方案：如采购方根据项目开展情况和预算资金等其他原因需要增减服务项目，需配合做好相关服务项目的增减工作并在1个月内调整到位。服务期内，采购人根据工作需要召开会议，中标单位的法定代表或管理人员必须准时参加。</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七、监督管理（招标人另行实施）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1、集中统一管理：中标单位在市民政局社会组织孵化中心设立项目临时办公场所，根据采购方要求集中办公。采购方对中标单位的业务指导、资金使用等集中统一管理，加强监管指导其规范发展；中标单位可聘请民政部门或乡镇街道认可的工作人员为项目监督专员，加强日常上门服务质量监督和服务对象满意度调查，协调处理服务过程中发生的困难和问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2、自我监督管理：中标单位自行组织开展内部监管工作；需从服务质量、覆盖率、持证上岗、出勤率、工单进度、满意度等多方面对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建立绩效考核制度。采购方依托兴化民政综合监管平台、随机抽查、监督专员反馈、投诉热线等监管方式对居家养老上门服务的质量进行有效监管。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3、项目考核：采购方依托社会组织孵化中心和兴化民政综合监管平台，以运营管理、服务质量、服务覆盖率、社会评价、服务对象满意度、相关工作完成率准确率等内容，并依据监管结果，对中标单位进行考核。考核结果运用于项目结束后结算履约保证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4、居家养老上门服务人员需通过兴化市民政综合监管平台进行服务，如服务数据不能上传平台等原因影响考核，所导致的一切后果中标方自负。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5、中标单位使用养老服务公益基金开展特殊服务对象整岁生日、入党入伍入职、特殊贡献、端午中秋重阳、临终关怀等慰问关爱公益活动时，如需采购物品应报备招标单位同意后实施。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6、招标单位对中标单位的服务质量考核测评管理，考核测评不合格，甲方有权终止合同。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八、中标单位承诺项目负责人随时参加采购人组织的会议、培训等活动，配备的各类专业人员必须投入本项目，如中标后未履行，采购方可根据实际情况中止合同，项目履约保证金不予退还。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九、中标单位中标后3天内，在市民政局社会组织孵化中心设立项目临时办公场所，且接受民政部门对中标单位该项目相关财务、业务等集中管理和指导。</w:t>
      </w:r>
      <w:r/>
    </w:p>
    <w:p>
      <w:pPr>
        <w:ind w:firstLine="518"/>
        <w:spacing w:line="560" w:lineRule="exact"/>
        <w:rPr>
          <w:rFonts w:hint="eastAsia" w:ascii="仿宋" w:hAnsi="仿宋" w:eastAsia="仿宋" w:cs="仿宋"/>
          <w:sz w:val="28"/>
          <w:szCs w:val="28"/>
        </w:rPr>
      </w:pPr>
      <w:r>
        <w:rPr>
          <w:rFonts w:hint="eastAsia" w:ascii="仿宋" w:hAnsi="仿宋" w:eastAsia="仿宋" w:cs="仿宋"/>
          <w:sz w:val="28"/>
          <w:szCs w:val="28"/>
        </w:rPr>
        <w:t xml:space="preserve">十、中标单位承诺每月支出上门服务</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（不含管理人员），</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工资通过考核进行发放，不得低于工单费用的70%（其中65%为</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基本工资，5%进行考核后发放），各中标单位对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建立绩效考评机制，对</w:t>
      </w:r>
      <w:r>
        <w:rPr>
          <w:rFonts w:hint="eastAsia" w:ascii="仿宋" w:hAnsi="仿宋" w:eastAsia="仿宋" w:cs="仿宋"/>
          <w:sz w:val="28"/>
          <w:szCs w:val="28"/>
          <w:lang w:eastAsia="zh-CN"/>
        </w:rPr>
        <w:t xml:space="preserve">养老护理员</w:t>
      </w:r>
      <w:r>
        <w:rPr>
          <w:rFonts w:hint="eastAsia" w:ascii="仿宋" w:hAnsi="仿宋" w:eastAsia="仿宋" w:cs="仿宋"/>
          <w:sz w:val="28"/>
          <w:szCs w:val="28"/>
        </w:rPr>
        <w:t xml:space="preserve">实行考核工作。</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十一、除第一个月外，中标企业需将每月养老护理员工资发放银行流水明细提交市民政局审核,审核通过后市民政局予以拨付款项。</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养老护理员在上门服务工作期间，因对服务对象实施殴打、财物偷窃等违法行为受到行政处罚及以上的,每次扣除本标段履约保证金的5%，合同期内累计计算，扣完为止。</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二、项目管理费不高于工单费的15%，其他费用用于老年人能力评估、养老服务以及政策宣传、从业人员业务培训教育、工作服、服务工具意外保险、员工福利、会计结算审核、养老服务设施和民政工作站运营、第三方监管服务产生的交通费通讯费、公益活动等支出;相关资金使用需接受采购方监管。</w:t>
      </w:r>
      <w:r/>
    </w:p>
    <w:p>
      <w:pPr>
        <w:ind w:firstLine="518"/>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十三、上级主管部门政策调整，中标方应无条件服从，否则采购方有权终止合同。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、以上条款最终解释权归采购方所有。</w:t>
      </w:r>
      <w:r/>
    </w:p>
    <w:p>
      <w:pPr>
        <w:ind w:firstLine="518"/>
        <w:spacing w:line="560" w:lineRule="exact"/>
        <w:rPr>
          <w:rFonts w:ascii="仿宋" w:hAnsi="仿宋" w:eastAsia="仿宋" w:cs="仿宋"/>
          <w:b/>
          <w:bCs/>
          <w:sz w:val="28"/>
          <w:szCs w:val="28"/>
          <w:highlight w:val="green"/>
        </w:rPr>
      </w:pPr>
      <w:r>
        <w:rPr>
          <w:rFonts w:hint="eastAsia" w:ascii="仿宋" w:hAnsi="仿宋" w:eastAsia="仿宋" w:cs="仿宋"/>
          <w:b/>
          <w:bCs/>
          <w:sz w:val="28"/>
          <w:szCs w:val="28"/>
          <w:highlight w:val="green"/>
        </w:rPr>
        <w:t xml:space="preserve">十</w:t>
      </w:r>
      <w:r>
        <w:rPr>
          <w:rFonts w:hint="eastAsia" w:ascii="仿宋" w:hAnsi="仿宋" w:eastAsia="仿宋" w:cs="仿宋"/>
          <w:b/>
          <w:bCs/>
          <w:sz w:val="28"/>
          <w:szCs w:val="28"/>
          <w:highlight w:val="green"/>
          <w:lang w:val="en-US" w:eastAsia="zh-CN"/>
        </w:rPr>
        <w:t xml:space="preserve">五</w:t>
      </w:r>
      <w:r>
        <w:rPr>
          <w:rFonts w:hint="eastAsia" w:ascii="仿宋" w:hAnsi="仿宋" w:eastAsia="仿宋" w:cs="仿宋"/>
          <w:b/>
          <w:bCs/>
          <w:sz w:val="28"/>
          <w:szCs w:val="28"/>
          <w:highlight w:val="green"/>
        </w:rPr>
        <w:t xml:space="preserve">、基础方案</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1、运营实施</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①项目总览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（一）项目背景</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随着人口老龄化进程加速，泰州市经济困难高龄、失能老年人的居家照护需求日益凸显。依据 2026 年 1 月 1 日起施行的《泰州市养老服务条例》及《中共中央 国务院关于深化养老服务改革发展的意见》要求，本项目以 “居家为基础、社区为依托、医养相结合” 为核心，通过专业化上门服务，保障特殊老年群体的生活质量与安全。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（二）服务范围与预算分配</w:t>
      </w:r>
      <w:r/>
    </w:p>
    <w:tbl>
      <w:tblPr>
        <w:tblStyle w:val="686"/>
        <w:tblW w:w="9849" w:type="dxa"/>
        <w:jc w:val="center"/>
        <w:tblLayout w:type="autofit"/>
        <w:tblCellMar>
          <w:left w:w="108" w:type="dxa"/>
          <w:top w:w="0" w:type="dxa"/>
          <w:right w:w="108" w:type="dxa"/>
          <w:bottom w:w="0" w:type="dxa"/>
        </w:tblCellMar>
        <w:tblLook w:val="04A0" w:firstRow="1" w:lastRow="0" w:firstColumn="1" w:lastColumn="0" w:noHBand="0" w:noVBand="1"/>
      </w:tblPr>
      <w:tblGrid>
        <w:gridCol w:w="2131"/>
        <w:gridCol w:w="6248"/>
        <w:gridCol w:w="1470"/>
      </w:tblGrid>
      <w:tr>
        <w:trPr>
          <w:jc w:val="center"/>
          <w:tblHeader/>
        </w:trPr>
        <w:tc>
          <w:tcPr>
            <w:shd w:val="clear" w:color="auto" w:fill="auto"/>
            <w:tcBorders>
              <w:top w:val="single" w:color="auto" w:sz="12"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标段</w:t>
            </w:r>
            <w:r/>
          </w:p>
        </w:tc>
        <w:tc>
          <w:tcPr>
            <w:shd w:val="clear" w:color="auto" w:fill="auto"/>
            <w:tcBorders>
              <w:top w:val="single" w:color="auto" w:sz="12" w:space="0"/>
              <w:left w:val="single" w:color="auto" w:sz="4" w:space="0"/>
              <w:bottom w:val="single" w:color="auto" w:sz="4" w:space="0"/>
              <w:right w:val="single" w:color="auto" w:sz="4" w:space="0"/>
            </w:tcBorders>
            <w:tcW w:w="6248"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服务区域</w:t>
            </w:r>
            <w:r/>
          </w:p>
        </w:tc>
        <w:tc>
          <w:tcPr>
            <w:shd w:val="clear" w:color="auto" w:fill="auto"/>
            <w:tcBorders>
              <w:top w:val="single" w:color="auto" w:sz="12" w:space="0"/>
              <w:left w:val="single" w:color="auto" w:sz="4" w:space="0"/>
              <w:bottom w:val="single" w:color="auto" w:sz="4" w:space="0"/>
              <w:right w:val="single" w:color="auto" w:sz="12" w:space="0"/>
            </w:tcBorders>
            <w:tcW w:w="1470" w:type="dxa"/>
            <w:vAlign w:val="center"/>
            <w:textDirection w:val="lrTb"/>
            <w:noWrap/>
          </w:tcPr>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预算</w:t>
            </w:r>
            <w:r/>
          </w:p>
          <w:p>
            <w:pPr>
              <w:jc w:val="center"/>
              <w:widowControl/>
              <w:rPr>
                <w:rFonts w:ascii="仿宋" w:hAnsi="仿宋" w:eastAsia="仿宋" w:cs="仿宋"/>
                <w:b/>
                <w:color w:val="000000"/>
                <w:sz w:val="28"/>
                <w:szCs w:val="28"/>
              </w:rPr>
            </w:pPr>
            <w:r>
              <w:rPr>
                <w:rFonts w:hint="eastAsia" w:ascii="仿宋" w:hAnsi="仿宋" w:eastAsia="仿宋" w:cs="仿宋"/>
                <w:b/>
                <w:color w:val="000000"/>
                <w:sz w:val="28"/>
                <w:szCs w:val="28"/>
              </w:rPr>
              <w:t xml:space="preserve">（万元）</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1标段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昭阳街道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204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临城街道、垛田街道</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342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兴东镇、林湖乡、昌荣镇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270</w:t>
            </w:r>
            <w:r/>
          </w:p>
        </w:tc>
      </w:tr>
      <w:tr>
        <w:trPr>
          <w:jc w:val="center"/>
          <w:trHeight w:val="513"/>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4标段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竹泓镇、大垛镇、荻垛镇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294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安丰镇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大邹镇、海南镇、钓鱼镇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256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戴南镇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474</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陈堡镇、周庄镇、沈伦镇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376</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千垛镇、沙沟镇、中堡镇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368</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永丰镇、戴窑镇、陶庄镇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392</w:t>
            </w:r>
            <w:r/>
          </w:p>
        </w:tc>
      </w:tr>
      <w:tr>
        <w:trPr>
          <w:jc w:val="center"/>
        </w:trPr>
        <w:tc>
          <w:tcPr>
            <w:shd w:val="clear" w:color="auto" w:fill="auto"/>
            <w:tcBorders>
              <w:top w:val="single" w:color="auto" w:sz="4" w:space="0"/>
              <w:left w:val="single" w:color="auto" w:sz="12" w:space="0"/>
              <w:bottom w:val="single" w:color="auto" w:sz="4" w:space="0"/>
              <w:right w:val="single" w:color="auto" w:sz="4" w:space="0"/>
            </w:tcBorders>
            <w:tcW w:w="2131" w:type="dxa"/>
            <w:vAlign w:val="center"/>
            <w:textDirection w:val="lrTb"/>
            <w:noWrap/>
          </w:tcPr>
          <w:p>
            <w:pPr>
              <w:jc w:val="center"/>
              <w:widowControl/>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11</w:t>
            </w:r>
            <w:r>
              <w:rPr>
                <w:rFonts w:hint="eastAsia" w:ascii="仿宋" w:hAnsi="仿宋" w:eastAsia="仿宋" w:cs="仿宋"/>
                <w:color w:val="000000"/>
                <w:sz w:val="28"/>
                <w:szCs w:val="28"/>
              </w:rPr>
              <w:t xml:space="preserve">标段</w:t>
            </w:r>
            <w:r/>
          </w:p>
        </w:tc>
        <w:tc>
          <w:tcPr>
            <w:shd w:val="clear" w:color="auto" w:fill="auto"/>
            <w:tcBorders>
              <w:top w:val="single" w:color="auto" w:sz="4" w:space="0"/>
              <w:left w:val="single" w:color="auto" w:sz="4" w:space="0"/>
              <w:bottom w:val="single" w:color="auto" w:sz="4" w:space="0"/>
              <w:right w:val="single" w:color="auto" w:sz="4" w:space="0"/>
            </w:tcBorders>
            <w:tcW w:w="6248" w:type="dxa"/>
            <w:vAlign w:val="center"/>
            <w:textDirection w:val="lrTb"/>
            <w:noWrap/>
          </w:tcPr>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新垛镇、大营镇、合陈镇</w:t>
            </w:r>
            <w:r/>
          </w:p>
        </w:tc>
        <w:tc>
          <w:tcPr>
            <w:shd w:val="clear" w:color="auto" w:fill="auto"/>
            <w:tcBorders>
              <w:top w:val="single" w:color="auto" w:sz="4" w:space="0"/>
              <w:left w:val="single" w:color="auto" w:sz="4" w:space="0"/>
              <w:bottom w:val="single" w:color="auto" w:sz="4" w:space="0"/>
              <w:right w:val="single" w:color="auto" w:sz="12" w:space="0"/>
            </w:tcBorders>
            <w:tcW w:w="1470" w:type="dxa"/>
            <w:vAlign w:val="center"/>
            <w:textDirection w:val="lrTb"/>
            <w:noWrap/>
          </w:tcPr>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312</w:t>
            </w:r>
            <w:r/>
          </w:p>
        </w:tc>
      </w:tr>
    </w:tbl>
    <w:p>
      <w:pPr>
        <w:spacing w:line="560" w:lineRule="exact"/>
        <w:rPr>
          <w:rFonts w:hint="eastAsia" w:ascii="仿宋" w:hAnsi="仿宋" w:eastAsia="仿宋" w:cs="仿宋"/>
          <w:sz w:val="28"/>
          <w:szCs w:val="28"/>
        </w:rPr>
      </w:pPr>
      <w:r>
        <w:rPr>
          <w:rFonts w:hint="eastAsia" w:ascii="仿宋" w:hAnsi="仿宋" w:eastAsia="仿宋" w:cs="仿宋"/>
          <w:sz w:val="28"/>
          <w:szCs w:val="28"/>
        </w:rPr>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（三）服务对象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依据《老年人能力评估规范》（GB/T 42195-2022）评定为轻度及以上失能等级的经济困难高龄老年人，其中中度及以上失能者需有固定家庭照护者作为补充支持。</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②运营体系构建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（一）组织架构设计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项目总控中心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核心职能：统筹 11 个标段运营、政策对接、质量监控与资源调配，设总经理 1 名、运营副总经理 1 名、财务副总经理 1 名，年薪参照行业标准分别为 80 万元、60 万元、55 万元。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专业部门：运营部（4 名经理，年薪 35 万元 / 人）负责服务标准化；财务部管控预算执行；培训部承担人员技能提升。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标段服务站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每个标段设站长 1 名（兼区域协调员），3-5 个乡镇 / 街道设服务点，按 “1 名高级护理 + 2 名中级护理 + 3 名初级护理” 配置核心团队，护理人员月薪分别为 7000 元、5500 元、4500 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配套保障：每个服务站配置医疗督导 1 名（兼职医生，月薪 8000 元）、护士 2 名（月薪 5000 元），保障医养结合服务落地。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（二）服务内容体系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基础照护服务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生活照料：助餐（适配咀嚼困难膳食）、助浴（配备防滑设备）、助洁（重点区域消毒）、助行（辅助器具使用指导），严格遵循《家庭养老床位服务基本规范》。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健康管理：每日体征监测、每周慢病随访、每月健康评估，建立电子健康档案并同步至民政系统。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专项照护服务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失能照护：针对不同失能等级提供翻身叩背、康复训练等专业服务，中度失能者每日服务不少于 2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应急响应：配置智能呼叫设备，3 分钟内响应、30 分钟内上门，水乡及偏远区域延长至 45 分钟。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特色增值服务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文化适配：结合泰州地域文化，提供传统节庆陪伴、方言沟通服务。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家庭支持：为照护者提供每月 2 次技能培训，减轻照护压力。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（三）运营流程规范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服务启动流程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需求摸排：联合民政工作站开展入户评估，15 日内完成标段内服务对象建档。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方案制定：根据评估结果定制个性化服务计划，明确服务频次、内容及安全预案。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服务执行流程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标准化作业：护理人员持服务手册上门，执行服务前核验身份、服务后签署确认单。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动态调整：每季度复评服务对象能力等级，同步优化服务方案。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服务终止流程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正常终止：服务期满或对象不符合条件时，办理档案移交手续。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特殊终止：因健康恶化等情况，24 小时内联动民政部门转介至机构服务。</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③中标地区民政工作站运营实施方案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（一）联动机制建设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双专员对接制度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我方每个标段设民政对接专员，民政工作站设项目联络专员，每周召开线上例会，每月开展联合巡查。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“需求 - 响应 - 反馈” 闭环：民政工作站收集的服务需求 48 小时内落地处置，处置结果 3 日内反馈。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资源共享机制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数据共享：每月 5 日前向民政工作站报送服务数据，包括服务人次、满意度、资金使用等情况。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设施共用：依托民政工作站场地设立服务点，共享应急设备与活动空间。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（二）重点工作协同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服务对象精准识别</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联合开展资格复核：每半年协助民政工作站完成服务对象资格核查，确保补贴资金精准使用。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新增对象纳入：接到民政工作站新增通知后，7 日内完成评估与服务启动。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政策落地执行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政策宣贯：协助民政工作站开展《泰州市养老服务条例》解读，每年覆盖标段内所有服务对象家庭。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补贴申报：代为收集服务对象补贴申请材料，经民政工作站审核后提交财政部门。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应急处置联动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建立联合应急小组：由民政工作站干部、我方服务站长、社区医生组成，处置突发健康事件。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极端天气预案：雨雪天气前联合开展安全排查，对高风险对象每日上门巡查。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（三）考核配合机制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过程性配合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开放服务档案：接受民政工作站随时查阅服务记录、音视频资料（符合隐私保护要求）。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参与专项检查：配合民政部门开展季度服务质量抽检，对问题限期整改。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结果性反馈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满意度调查：协助民政工作站开展年度服务评价，确保回收率不低于 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绩效自评：每年 12 月提交标段服务绩效报告，为民政部门考核提供依据。</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④预算管理与成本控制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（一）预算编制原则</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严格遵循《中华人民共和国预算法》，按 “人员经费占 60%、服务成本占 30%、管理费用占 10%” 的比例分配各标段预算，重点保障护理人员薪酬与服务耗材支出。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（二）分项预算安排</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人员薪酬（占比 60%）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管理人员：总控中心年薪合计 295 万元，分摊至各标段（按预算比例分配）。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服务人员：11 个标段共配置护理人员 220 名、医疗人员 33 名，年薪合计约 1950 万元（含绩效奖金）。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服务成本（占比 30%）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耗材费用：助行器、纸尿裤等物资采购，按服务对象人数人均每年 1200 元核算。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设备费用：智能呼叫终端、康复器械等购置与维护，重点投入偏远标段。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管理费用（占比 10%）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培训费用：全年 45 万元，涵盖护理技能、政策解读等课程。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运营费用：含交通补贴、场地租赁、系统维护等，按标段服务半径差异化分配。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（三）成本控制措施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人员效率优化：采用 “服务包” 模式，将相近区域服务对象统筹排班，降低交通成本。</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物资集中采购：联合 11 个标段批量采购耗材，争取 30% 以上价格优惠。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资金动态监控：财务部每月分析各标段预算执行率，超支部分需提交民政工作站备案。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⑤质量保障体系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（一）人员资质管理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准入标准：护理人员持养老护理员职业资格证上岗，医疗人员具备相应执业资质，每年开展背景审查。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持续培训：建立 “岗前培训 + 季度轮训 + 年度考核” 体系，培训内容涵盖失能照护、应急处置、泰州地方政策等。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（二）服务质量监控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三级检查制度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自我检查：护理人员每日上传服务记录与定位信息。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站内检查：服务站长每周抽查不少于 20% 的服务对象。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总控检查：运营部每月开展跨标段飞行检查，结果与绩效奖金挂钩。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智能监管手段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为服务人员配备智能终端，实现服务过程音视频记录（经对象同意）。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运用养老服务信息系统，实时监控服务响应速度与完成质量。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（三）投诉与改进机制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投诉渠道：开通 24 小时服务热线、民政工作站反馈窗口、线上投诉平台，响应时限不超过 2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改进流程：对投诉问题建立台账，7 日内整改并回访，整改结果报送民政部门。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⑥风险防控机制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（一）服务安全风险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事前预防：服务协议明确安全责任划分，对高龄失能对象进行风险评估，投保服务责任险。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事中处置：服务人员随身携带应急包，突发疾病时立即启动医联体救援通道。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（二）资金使用风险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合规管控：严格执行专款专用，每笔支出需经民政工作站备案，杜绝挪用资金行为。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审计监督：聘请第三方机构每半年开展资金审计，审计报告提交民政与财政部门。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⑦项目实施计划</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（一）筹备阶段（2026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完成 11 个标段服务站选址与装修，同步开展人员招聘与培训。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与各民政工作站签订合作协议，完成服务对象摸排与评估。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采购服务设备与耗材，搭建智能监管系统。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（二）启动阶段（2026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举行项目启动仪式，开展政策宣贯活动。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各标段逐步开展服务，首月实现服务对象全覆盖。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建立与民政工作站的日常对接机制。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（三）运营阶段（2026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 - 2027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按标准化流程提供服务，每季度开展服务质量评估。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每年 7 月、12 月向民政工作站提交阶段性运营报告。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根据季节变化与对象需求优化服务内容。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（四）收尾阶段（2027 年 </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x</w:t>
      </w:r>
      <w:r>
        <w:rPr>
          <w:rFonts w:hint="eastAsia" w:ascii="仿宋" w:hAnsi="仿宋" w:eastAsia="仿宋" w:cs="仿宋"/>
          <w:sz w:val="28"/>
          <w:szCs w:val="28"/>
        </w:rPr>
        <w:t xml:space="preserve"> 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开展年度服务满意度调查与绩效自评。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完成服务档案整理与移交，办理物资清点手续。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协助民政工作站开展项目验收与总结。</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⑧项目预期成效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服务覆盖：两年内为 11 个标段约 5000 名经济困难高龄、失能老年人提供专业化上门服务，服务覆盖率达 100%。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质量提升：服务满意度稳定在 95% 以上，投诉解决率达 100%，未发生重大安全责任事故。</w:t>
      </w:r>
      <w:r/>
    </w:p>
    <w:p>
      <w:pPr>
        <w:ind w:firstLine="518"/>
        <w:spacing w:line="560" w:lineRule="exact"/>
        <w:rPr>
          <w:rFonts w:ascii="仿宋" w:hAnsi="仿宋" w:eastAsia="仿宋" w:cs="仿宋"/>
          <w:b/>
          <w:bCs/>
          <w:sz w:val="28"/>
          <w:szCs w:val="28"/>
        </w:rPr>
      </w:pPr>
      <w:r>
        <w:rPr>
          <w:rFonts w:hint="eastAsia" w:ascii="仿宋" w:hAnsi="仿宋" w:eastAsia="仿宋" w:cs="仿宋"/>
          <w:sz w:val="28"/>
          <w:szCs w:val="28"/>
        </w:rPr>
        <w:t xml:space="preserve">政策落地：助力《泰州市养老服务条例》实施，形成 “民政指导 + 专业运营” 的居家养老服务样板。</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2、实施方案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①居家养老上门服务分类设计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基于《老年人能力评估规范》（GB/T 42195-2022），结合服务对象失能等级、健康状况及生活需求，将上门服务划分为基础型、进阶型、特级型三类套餐，实现精准化服务供给。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（一）基础型服务套餐（适配轻度失能老人）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服务频次：每周上门 3 次，每次服务时长不少于 1.5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生活照料：协助整理居家环境（重点清洁卧室、厨房）、衣物清洗与收纳、代购日常生活用品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健康管理：测量血压、血糖（每周 2 次），提醒按时服药，记录健康数据并同步至电子档案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精神慰藉：陪老人聊天交流（每次不少于 30 分钟），协助使用智能手机视频通话，了解子女动态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安全排查：检查家中水电燃气安全隐患，更换过期药品，整理防滑通道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（二）进阶型服务套餐（适配中度失能老人）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服务频次：每日上门 1 次，每次服务时长不少于 2 小时；每周额外提供 2 次专项服务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生活照料：定制软烂易消化膳食（每日 1 餐）、协助洗漱沐浴（每周 2 次，配备防滑浴凳、恒温花洒）、协助如厕与清洁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健康管理：每日监测体温、血压、血氧，协助进行康复训练（如关节活动、坐姿平衡训练，每次 20 分钟），每月协助预约就医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照护支持：指导家庭照护者掌握翻身叩背、压疮预防技巧，每月开展 1 次家庭照护培训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辅助器具服务：调试轮椅、助行器等设备，定期检查设备使用状况，及时更换损坏配件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（三）特级型服务套餐（适配重度失能老人）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服务频次：每日上门 2 次（早晚各 1 次），每次服务时长不少于 2.5 小时；突发情况随叫随到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生活照料：全流程协助进食（使用鼻饲管者按医嘱操作）、床上擦浴（每日 1 次）、更换纸尿裤与床单（保持清洁干燥）、口腔护理（每日 2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健康管理：实时监测生命体征，记录饮食、排便情况，协助进行吸痰、雾化等基础医疗操作（由持证护士执行），每两周协助进行床上体位转换训练（预防压疮）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医疗协作：与社区医院建立绿色通道，突发健康问题 30 分钟内联系医护人员，协助办理住院手续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环境适配：根据老人身体状况调整床品高度、安装床边扶手，在卫生间设置紧急呼叫按钮</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②个性化服务方案制定流程</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为确保服务贴合每位老人实际情况，建立 “评估 - 定制 - 调整 - 反馈” 全周期个性化服务机制。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（一）多维度评估阶段（服务启动前 7 日内）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入户评估团队：由护理师、社工、医疗督导组成评估小组，携带评估量表、测量工具开展现场评估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身体状况：失能等级、慢性病史、过敏史、用药清单、肢体活动能力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生活环境：居住户型、无障碍设施配置、家庭成员照护能力、邻里支持情况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需求偏好：饮食口味、作息习惯、兴趣爱好（如听戏曲、读报纸）、宗教信仰（尊重文化习俗）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评估结果应用：生成《个性化服务评估报告》，明确服务套餐类型、特殊服务需求及注意事项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（二）方案定制阶段（评估完成后 3 日内）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方案构成：包括服务计划表（明确每日服务时间、内容）、应急处理预案（如突发疾病、意外摔倒处置流程）、照护者协作清单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多方确认：将方案提交老人本人（或监护人）、民政工作站联络专员审核，根据反馈意见修改完善，签订《个性化服务协议》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（三）动态调整阶段（每季度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调整触发条件：老人身体状况变化（如失能等级升级、新增疾病）、家庭照护情况改变、服务满意度低于 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调整流程：评估小组重新入户评估，更新《个性化服务评估报告》，修订服务方案并经各方确认后执行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（四）反馈优化阶段（每月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反馈渠道：服务人员每日提交《服务日志》，每月开展 1 次上门访谈（与老人及监护人沟通），通过民政平台收集意见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优化措施：针对反馈问题制定整改方案（如更换服务人员、调整服务时间），整改结果 7 日内反馈至相关方</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③服务实施保障机制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（一）人员保障</w:t>
      </w:r>
      <w:r/>
    </w:p>
    <w:p>
      <w:pPr>
        <w:ind w:firstLine="518"/>
        <w:spacing w:line="560" w:lineRule="exact"/>
        <w:rPr>
          <w:rFonts w:ascii="仿宋" w:hAnsi="仿宋" w:eastAsia="仿宋" w:cs="仿宋"/>
          <w:sz w:val="28"/>
          <w:szCs w:val="28"/>
          <w:highlight w:val="none"/>
        </w:rPr>
      </w:pPr>
      <w:r>
        <w:rPr>
          <w:rFonts w:hint="eastAsia" w:ascii="仿宋" w:hAnsi="仿宋" w:eastAsia="仿宋" w:cs="仿宋"/>
          <w:sz w:val="28"/>
          <w:szCs w:val="28"/>
        </w:rPr>
        <w:t xml:space="preserve">服务团队</w:t>
      </w:r>
      <w:r>
        <w:rPr>
          <w:rFonts w:hint="eastAsia" w:ascii="仿宋" w:hAnsi="仿宋" w:eastAsia="仿宋" w:cs="仿宋"/>
          <w:sz w:val="28"/>
          <w:szCs w:val="28"/>
          <w:highlight w:val="none"/>
        </w:rPr>
        <w:t xml:space="preserve">配置：每个标段按 “1 名护理主管 + 5 名专职护理员 + 2 名兼职医护人员” 配置，护理员需持有养老护理员中级及以上证书，且具备 1 年以上失能老人照护经验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专项培训：每月开展 2 次专项培训，内容包括重度失能老人气道护理、应急急救技能（心肺复苏、海姆立克法）、沟通技巧（针对认知障碍老人）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（二）物资保障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服务包配置：为每位服务人员配备标准化服务包，内含血压计、血糖仪、体温枪、消毒用品、应急药品（创可贴、碘伏、硝酸甘油）、防滑垫、一次性手套等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特殊物资储备：各标段服务站储备轮椅、助行器、护理床等辅助器具（不少于 5 套），针对重度失能老人提供临时借用服务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（三）技术保障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智能监管系统：服务人员配备智能终端，实现服务打卡（定位签到）、服务过程拍照记录（经老人同意）、紧急呼叫一键上报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健康数据平台：对接泰州市养老服务信息系统，实时同步老人健康数据，异常情况自动预警（如血压超标时提醒医疗督导介入）</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④特殊群体服务适配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（一）认知障碍老人服务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服务调整：采用 “固定服务人员 + 固定服务流程” 模式，减少环境变化对老人的刺激；使用图片、实物等直观方式沟通，避免复杂指令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特色服务：开展怀旧疗法（展示老照片、播放老歌）、认知训练（数字游戏、记忆力小游戏），每日协助进行简单肢体活动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（二）独居失能老人服务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安全保障：安装智能烟感、燃气泄漏报警器，每日增加 1 次电话回访（非服务时段），与邻里签订互助协议（紧急情况协助联系）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情感支持：每周安排 1 次社工上门陪伴，协助参与社区活动（如线上老年课堂），节日期间提供上门慰问服务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（三）少数民族老人服务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文化适配：尊重民族饮食习惯（如回族老人提供清真餐）、宗教习俗，安排熟悉相关文化的服务人员上门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语言支持：针对少数民族语言使用者，配备双语服务人员或使用翻译工具，确保沟通顺畅</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⑤服务质量监督与评估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（一）日常监督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服务日志核查：护理主管每日抽查 30% 的《服务日志》，核对服务内容与实际情况是否一致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随机回访：每周随机抽取 20% 的服务对象进行电话回访，了解服务满意度，记录反馈意见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（二）月度评估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评估指标：服务完成率（需达到 100%）、服务满意度（不低于 95%）、安全事故发生率（为 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评估方式：结合服务日志、智能系统数据、回访记录，生成《月度服务质量报告》，报送民政工作站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（三）年度考核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考核内容：服务对象满意度调查（回收率不低于 90%）、个性化服务方案执行情况、应急处理能力评估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结果应用：考核优秀的服务团队给予奖励（如奖金、荣誉证书），考核不合格的限期整改，整改仍不达标则更换服务人员</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⑥应急处理预案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（一）健康应急处理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突发疾病：服务人员立即拨打 120，同时联系老人监护人及民政联络专员；在医护人员指导下开展基础急救（如心肺复苏），保留现场急救记录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意外受伤：轻度外伤及时消毒处理，严重外伤（如骨折、出血）立即采取止血、固定等措施，等待急救人员到场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（二）安全应急处理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火灾、燃气泄漏：立即协助老人撤离至安全区域，关闭相关阀门，拨打 119，通知物业及监护人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服务人员突发状况：服务站立即调度备用服务人员，确保服务不中断，同时安排专人处理突发情况</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3、服务方案</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①精准化服务方案升级</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“需求画像 + 动态适配” 为核心，在原有服务分类基础上，结合老人年龄、疾病类型、家庭结构等维度，进一步细化服务内容，实现 “一人一策” 精准服务。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（一）按年龄分层优化服务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70-79 岁老人：增加 “记忆唤醒” 服务，每月协助整理老照片、记录人生故事，制作简易纪念手册；结合老人过往职业，开展主题交流（如退休教师可分享教学经历）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80-89 岁老人：强化 “慢病管理” 服务，联合社区医生定制专属健康管理计划，每两周开展 1 次慢病用药指导；提供 “怀旧影视” 陪伴服务，播放经典老电影、戏曲片段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90 岁及以上老人：重点保障 “生活安全与舒适”，每日增加 1 次夜间安全巡查（通过智能设备远程查看或上门）；提供 “定制化膳食” 服务，根据牙齿咀嚼能力调整食物软烂程度，每周更换食谱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（二）按疾病类型定制服务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糖尿病老人：服务人员掌握血糖监测与饮食指导技能，协助记录饮食热量，推荐低糖食谱；定期检查胰岛素储存条件，提醒按时注射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心血管疾病老人：配备便携心电图仪（每个服务站 2 台），每月开展 1 次基础心脏监测；避免老人情绪波动，交流时采用温和语速，减少刺激性话题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认知障碍老人：制作 “家庭记忆墙”（张贴家人照片及简单信息），帮助老人识别亲属；使用 “时间日历板”（标注日期、天气、重要事件），强化时间认知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（三）按家庭结构补充服务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独居无子女老人：建立 “一对一结对” 机制，服务人员每周额外增加 1 次上门陪伴，节日期间全程陪同；开通 “紧急联系绿色通道”，与社区居委会、志愿者共同组成帮扶小组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子女异地老人：每月协助开展 2 次 “云端团聚” 活动，优化视频通话画质，协助老人展示生活近况；定期向子女发送老人健康报告与服务照片，缓解子女担忧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有家庭照护者老人：提供 “照护喘息” 服务，每月为家庭照护者提供 2 次免费照护替代服务，让照护者得到休息；建立照护者交流群，分享照护经验，提供心理支持</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②不同类型老人慰问关爱方案</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结合传统节日、特殊节点及老人需求，制定差异化慰问关爱计划，传递温暖关怀，提升老人幸福感。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（一）日常慰问关爱（常态化开展）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生日慰问：提前获取老人生日信息，生日当天上门赠送定制蛋糕（低糖款）与贺卡，组织简单生日仪式（唱生日歌、合影留念）；对行动不便老人，协助视频连线子女共同庆祝</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健康慰问：老人患病康复期间，上门赠送营养补品（如蛋白粉、杂粮礼盒），提供康复指导；定期回访康复情况，调整服务内容适配康复需求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情绪关怀：发现老人情绪低落时，增加陪伴时长，邀请社工介入开展心理疏导；链接社区兴趣小组资源，协助老人参与书画、手工等活动，转移负面情绪</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097"/>
        <w:gridCol w:w="1510"/>
        <w:gridCol w:w="1430"/>
        <w:gridCol w:w="5818"/>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节日</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慰问对象</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慰问形式</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特色内容</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春节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全体服务对象</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上门慰问 + 物资赠送</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赠送春联、福字、年货礼包（含坚果、糕点）；协助贴春联、挂灯笼，营造节日氛围</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端午节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全体服务对象</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定制化慰问</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为老人包粽子（根据饮食禁忌制作不同口味，如无糖粽、肉粽）；上门送粽子与艾草</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中秋节</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独居、子女异地老人</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陪伴 + 团圆活动</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组织 “中秋茶话会”（小型线下聚会，控制人数）；为无法参会老人上门送月饼（低糖款），陪老人赏月聊天</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097"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重阳节</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51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高龄、重度失能老人</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43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专项关爱 + 荣誉表彰</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581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为 80 岁以上老人颁发 “长寿安康” 纪念章；提供免费理发、修脚服务；协助拍摄全家福</w:t>
            </w:r>
            <w:r/>
          </w:p>
        </w:tc>
      </w:tr>
    </w:tbl>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（二）节日专项慰问（重点节日开展）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（三）特殊群体重点慰问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失独老人：在重要纪念日（如子女忌日）上门陪伴，提供情绪疏导；节日期间邀请参与 “爱心家庭” 结对活动，与志愿者家庭共同过节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残疾失能老人：结合全国助残日，开展 “无障碍关爱” 活动，上门检查并优化居家无障碍设施（如加装扶手、铺设防滑垫）；赠送辅助器具适配服务券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困难党员老人：“七一” 建党节期间，联合社区党组织上门慰问，赠送党史相关书籍（大字版）；听老人讲述入党经历，记录红色故事</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③公益服务方案设计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联动社会资源，开展多元化公益服务，拓展服务边界，为老人提供更多元化支持。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（一）“银龄健康”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公益体检：每季度联合三甲医院、社区卫生服务中心开展 1 次免费体检，项目包括血常规、肝肾功能、心电图、骨密度检测等；为行动不便老人提供上门体检服务，体检后由医生解读报告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健康讲座：每月举办 1 次线上健康讲座，邀请医疗专家讲解慢病管理、冬季保暖、夏季防暑等知识；讲座后设置互动环节，解答老人健康疑问，讲座内容录制后供老人反复观看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义诊服务：每半年开展 1 次线下义诊活动，组织内科、骨科、康复科医生坐诊；为老人提供疾病诊断、用药指导、康复建议，现场开具处方（如需）</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（二）“银龄互助”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低龄助高龄：招募 60-69 岁健康低龄老人组成 “银龄志愿者服务队”，协助服务人员开展轻量型服务，如陪高龄老人聊天、读报纸、代购物品；为志愿者提供免费体检、志愿服务培训等激励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邻里互助：在服务对象所在社区建立 “邻里互助网络”，鼓励邻居关注老人情况，发现异常及时联系服务站；为参与互助的邻居颁发 “爱心邻里” 证书，给予物资奖励（如生活用品）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家庭互助：组织服务对象家庭开展 “互助小组” 活动，每月 1 次分享照护经验、交流生活心得；针对照护压力大的家庭，协调其他家庭提供临时照护支持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（三）“银龄乐享” 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公益教学：开设 “银龄学堂”，每周开展 1 次线上课程，内容包括智能手机使用、短视频制作、书法绘画、健康养生等；为视力不佳老人提供大字版教材、语音课程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文化公益活动：联合文化馆、博物馆开展 “文化进家” 活动，为老人上门展示非遗手工艺品（如剪纸、刺绣），讲解文化故事；组织老人参观博物馆（提供轮椅、优先通道服务）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公益捐赠：发起 “暖冬捐赠”“爱心物资” 募集活动，向社会征集适合老人的衣物、书籍、生活用品等；对捐赠物资进行消毒、分类后，发放给有需求的服务对象；公开捐赠名单与物资使用情况，接受社会监督</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（四）公益服务保障机制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资源联动：与本地公益组织、企业、医疗机构签订合作协议，建立长期合作关系，确保公益服务稳定开展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人员保障：组建公益服务专项团队，配备社工、志愿者管理专员，负责公益活动策划、组织、执行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效果评估：每次公益活动后开展满意度调查，收集老人意见；每季度对公益服务进行总结评估，优化服务内容与形式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宣传推广：通过地方媒体、社区公告、服务站宣传栏等渠道，宣传公益服务活动，扩大社会影响力，吸引更多资源参与</w:t>
      </w:r>
      <w:r/>
    </w:p>
    <w:p>
      <w:pPr>
        <w:ind w:firstLine="518"/>
        <w:spacing w:line="560" w:lineRule="exact"/>
        <w:rPr>
          <w:rFonts w:ascii="仿宋" w:hAnsi="仿宋" w:eastAsia="仿宋" w:cs="仿宋"/>
          <w:b/>
          <w:bCs/>
          <w:sz w:val="28"/>
          <w:szCs w:val="28"/>
          <w:highlight w:val="cyan"/>
        </w:rPr>
      </w:pPr>
      <w:r>
        <w:rPr>
          <w:rFonts w:ascii="仿宋" w:hAnsi="仿宋" w:eastAsia="仿宋" w:cs="仿宋"/>
          <w:b/>
          <w:bCs/>
          <w:sz w:val="28"/>
          <w:szCs w:val="28"/>
          <w:highlight w:val="cyan"/>
        </w:rPr>
        <w:t xml:space="preserve">4、</w:t>
      </w:r>
      <w:r>
        <w:rPr>
          <w:rFonts w:hint="eastAsia" w:ascii="仿宋" w:hAnsi="仿宋" w:eastAsia="仿宋" w:cs="仿宋"/>
          <w:b/>
          <w:bCs/>
          <w:sz w:val="28"/>
          <w:szCs w:val="28"/>
          <w:highlight w:val="cyan"/>
        </w:rPr>
        <w:t xml:space="preserve">常态化运营</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①项目常态化运营总框架</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“制度标准化、流程规范化、管理精细化、服务可持续” 为原则，构建 “1 个总控中心 + N 个居家养老服务中心 + 服务团队” 的三级运营体系，明确各主体权责，形成 “计划 - 执行 - 监督 - 优化” 的闭环管理机制，保障项目 24 个月稳定运行。</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390"/>
        <w:gridCol w:w="2868"/>
        <w:gridCol w:w="1511"/>
        <w:gridCol w:w="4086"/>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运营层级</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核心职能</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责任主体</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考核指标</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总控中心</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统筹资源调配、政策对接、预算管控、质量监督</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项目总经理、运营部</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服务覆盖率 100%、预算执行偏差≤5%、投诉解决率 100%</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居家养老服务中心</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区域服务落地、人员管理、应急响应、民政对接</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中心主任、护士长</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服务完成率≥98%、老人满意度≥95%、安全事故发生率 0</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390"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服务团队</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868"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上门服务执行、健康数据记录、需求反馈</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1511"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护理员、社工</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4086"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服务日志完整率 100%、操作规范达标率 100%、需求反馈及时率 100%</w:t>
            </w:r>
            <w:r/>
          </w:p>
        </w:tc>
      </w:tr>
    </w:tbl>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②日常常态化运营管理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（一）服务人员常态化管理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人员排班机制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实行 “固定班次 + 弹性补位” 制度：每日分为早班（8:00-12:00）、中班（14:00-18:00）、晚班（18:00-20:00），每个班次配置 1 名组长；每个服务中心储备 2-3 名机动人员，应对突发请假、服务量激增等情况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排班表提前 1 周公示，每月调整 1 次，兼顾人员休息与服务需求；优先安排住家近的护理员负责偏远区域服务，降低通勤成本</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培训考核常态化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月度培训：每月最后 1 周周五开展培训，内容包括服务规范更新（如新版照护流程）、应急技能强化（如心肺复苏复训）、地方政策解读，培训后进行理论 + 实操考核，合格方可上岗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季度评优：从服务质量（日志完整性）、老人评价（满意度）、安全记录（无事故）三个维度评选 “星级护理员”，给予奖金（500-1000 元）+ 荣誉证书奖励，激励人员积极性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人员保障措施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为所有服务人员购买意外险、医疗险，签订正式劳务或临时用工协议，明确薪资结构（基本工资 + 绩效工资 + 交通补贴），每月 10 日前足额发放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“心理疏导日”：每月 1 次邀请心理咨询师入驻服务中心，为护理员提供情绪疏导，缓解照护压力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（二）服务执行常态化流程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服务前准备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每日早会（8:00）：服务中心主任通报当日服务任务（老人姓名、地址、服务类型），强调特殊注意事项（如某老人对青霉素过敏、某老人需空腹测血糖）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物资清点：护理员按服务类型准备物资包（基础包含血压计、消毒液、服务手册；特级包额外增加纸尿裤、鼻饲管护理用品），核对物资有效期后出发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服务中执行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规范操作：严格遵循《居家养老上门服务操作手册》，如协助沐浴时先调试水温（38-40℃）、铺防滑垫；记录健康数据时需老人 / 监护人签字确认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实时反馈：通过智能服务终端（手机 APP）上传服务照片（含时间水印）、健康数据，遇异常情况（如老人血压骤升）立即上传并联系服务中心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服务后复盘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每日晚会（18:30）：护理员汇报当日服务情况，反馈老人新增需求（如某老人需要代购特定药品）；中心主任整理问题，次日对接资源解决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每周复盘会：每周一总结上周服务问题（如某区域服务延迟率高），制定改进措施（如优化该区域排班、增加机动人员）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（三）质量监督常态化机制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多层级检查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自我检查：护理员每日完成服务后，对照《服务 checklist》自查，确保无遗漏（如是否协助老人服药、是否清理服务产生的垃圾）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中心抽查：服务中心每周随机抽取 20% 的服务对象，通过电话回访或上门核查，确认服务内容与记录一致性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总控督查：总控中心每月开展 1 次跨区域飞行检查，携带录音录像设备，现场观察护理员操作规范，检查结果纳入服务中心考核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老人反馈收集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“双反馈” 渠道：每月 15 日由社工上门发放纸质满意度问卷（大字版），同时开通 24 小时服务热线、线上反馈小程序，方便老人 / 监护人随时提意见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反馈处理：收到反馈后 2 小时内响应，24 小时内核实情况，72 小时内解决并回访，形成《反馈处理台账》，每月报送民政部门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③居家养老服务中心常态化运营实施方案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（一）中心功能分区与配置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功能分区设计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核心服务区：设置接待窗口（1 名专员负责老人建档、需求登记）、健康监测室（配备血压计、血糖仪、心电图仪）、康复训练区（配置按摩椅、平衡训练仪）</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辅助功能区：设置休息等候区（提供茶水、报刊）、物资储存室（分类存放护理耗材、慰问物资）、应急处置室（配备急救箱、氧气袋）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管理办公区：配置 2 间办公室（中心主任、社工使用）、1 间会议室（用于培训、例会）</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设备物资常态化管理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建立《设备台账》：记录设备名称、采购时间、维护周期（如血压计每季度校准 1 次、康复设备每月保养 1 次），由专人负责定期检查，损坏设备 24 小时内报修或更换</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物资库存管理：实行 “最低库存预警” 制度，如纸尿裤、消毒液等常用物资库存低于 1 周用量时，立即启动采购；每月盘点 1 次库存，确保账实相符，避免积压或短缺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（二）中心常态化服务内容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基础服务（每日 9:00-17:00 开放）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健康监测：老人可随时到中心免费测血压、血糖，社工协助解读数据，提醒健康注意事项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咨询服务：解答老人 / 监护人关于服务流程、补贴政策、康复知识的疑问，提供书面指引材料</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临时托护：为家庭照护者提供临时照护服务（每日最多接收 5 名老人，时长不超过 4 小时），配备专人陪伴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特色服务（定期开展）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每周二 “康复日”：邀请康复师坐诊，为老人制定个性化康复计划，指导护理员开展上门康复训练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每周四 “社工日”：社工开展小组活动（如手工制作、戏曲欣赏），每次参与人数控制在 10 人以内，兼顾老人身体状况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每月 2 次 “民政对接日”：邀请民政工作站专员入驻中心，现场办理服务资格复核、补贴申请等业务，减少老人跑腿次数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（三）中心应急常态化管理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日常应急准备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配备应急物资：急救箱（含止血带、纱布、常用药品）、应急照明设备、备用轮椅，放置在中心显眼位置，每周检查 1 次物资有效性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制定应急流程：明确火灾、地震、老人突发疾病等场景的处置步骤，张贴在中心各区域；每月组织 1 次应急演练，确保人员熟练掌握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上门服务应急响应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“30 分钟应急圈”：服务中心接到护理员应急求助（如老人摔倒）后，30 分钟内派出机动人员携带应急设备赶赴现场，同时联系 120、老人监护人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特殊天气预案：雨雪、高温天气前，中心提前通知护理员检查老人家中取暖 / 降温设备；服务期间增加路况巡查，确保人员出行安全</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④常态化运营保障体系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（一）预算与物资保障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预算常态化管控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月度预算执行：每月 5 日前，服务中心提交上月预算使用明细（人员薪酬、物资采购、设备维护），总控中心审核后报送民政部门；预算超支需提交专项申请，说明原因及整改措施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成本优化：通过 “集中采购” 降低物资成本（如联合所有服务中心批量采购护理耗材，争取 15%-20% 折扣）；优化服务路线，减少交通费用（如按区域分组上门，避免重复往返）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物资供应链保障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 3-5 家本地供应商签订长期供货协议，明确物资质量标准（如纸尿裤需符合医用级标准）、交货时限（紧急物资 24 小时内送达）</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“备用供应商” 机制：当主供应商出现断货、质量问题时，立即切换至备用供应商，确保服务不受影响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（二）数据与信息化保障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数据常态化管理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建立老人电子档案：包含基本信息（年龄、疾病史）、服务记录（每次服务内容、健康数据）、反馈评价，实时更新；档案加密存储，仅授权人员可查看，保护老人隐私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数据统计分析：每月生成《运营数据报告》，包括服务人次、健康异常数据占比、老人需求类型分布，为服务优化提供依据（如某区域糖尿病老人多，则增加低糖膳食服务）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信息化系统保障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运维管理：安排 1 名专职 IT 人员，负责服务管理系统（APP、后台）的日常维护，出现故障 2 小时内响应，4 小时内修复；每周备份数据，防止丢失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系统更新：根据政策变化（如民政部门新增数据上报要求）、服务需求，每季度更新系统功能（如增加 “一键呼叫” 模块），并对服务人员开展系统操作培训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（三）多方协同保障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与民政部门常态化对接</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月度对接：每月 10 日前，服务中心向民政工作站提交上月服务报告（服务人数、资金使用、问题整改）；每月中旬参加民政部门组织的项目例会，汇报运营情况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年度配合：每年 11 月协助民政部门开展服务对象资格复核，提供老人健康评估数据；12 月配合完成项目年度验收，提交运营总结、财务审计报告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与社区、医疗机构协同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社区协同：每周与社区居委会沟通，获取新增困难老人信息；联合社区开展节日活动（如春节联欢喜乐会），扩大服务影响力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医疗协同：与社区卫生服务中心建立 “绿色通道”，老人需就医时，由服务中心协助预约挂号、陪同就诊；每月邀请社区医生到服务中心坐诊 1 次，提供医疗咨询</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与老人家属协同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定期沟通：每月向家属发送 1 次老人服务报告（含健康数据、服务照片）；家属有疑问时，24 小时内回复，消除家属顾虑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家属参与：每季度组织 1 次 “家属座谈会”，介绍服务流程、听取家属建议；邀请家属参与老人服务方案制定，确保服务符合家庭期望</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⑤常态化运营风险应对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人员流失风险：建立 “留任激励” 制度，工作满 1 年给予工龄补贴（100 元 / 月），满 3 年给予一次性奖金（5000 元）；优化工作环境，定期组织团建活动，增强人员归属感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人员操作风险：严格执行岗前培训 + 考核，未达标者不得上岗；服务过程中发现操作不规范，立即暂停服务，重新培训考核，合格后方可继续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（二）服务风险应对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服务质量下滑风险：加强质量监督频次（如增加抽查比例至 30%），对连续 2 次考核不达标的服务中心，更换中心主任；定期开展服务对标（参考行业优秀案例），提升服务水平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老人安全风险：服务前全面评估老人居家环境安全，提出整改建议（如加装扶手）；为老人购买意外伤害险，降低安全事故赔偿风险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（三）外部风险应对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政策变动风险：安排 1 名专员跟踪养老服务政策变化，及时调整运营方案（如民政部门调整补贴标准，则同步优化服务套餐价格）；加强与民政部门沟通，提前获取政策调整信息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物资供应风险：建立物资库存预警机制，常用物资储备量不低于 1 个月用量；与供应商签订违约责任条款，断货时要求赔偿，减少项目损失</w:t>
      </w:r>
      <w:r/>
    </w:p>
    <w:p>
      <w:pPr>
        <w:ind w:firstLine="518"/>
        <w:spacing w:line="560" w:lineRule="exact"/>
        <w:rPr>
          <w:rFonts w:ascii="仿宋" w:hAnsi="仿宋" w:eastAsia="仿宋" w:cs="仿宋"/>
          <w:b/>
          <w:bCs/>
          <w:sz w:val="28"/>
          <w:szCs w:val="28"/>
          <w:highlight w:val="cyan"/>
        </w:rPr>
      </w:pPr>
      <w:r>
        <w:rPr>
          <w:rFonts w:hint="eastAsia" w:ascii="仿宋" w:hAnsi="仿宋" w:eastAsia="仿宋" w:cs="仿宋"/>
          <w:b/>
          <w:bCs/>
          <w:sz w:val="28"/>
          <w:szCs w:val="28"/>
          <w:highlight w:val="cyan"/>
        </w:rPr>
        <w:t xml:space="preserve">5、团队管理</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①团队架构与组织体系设计</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以 “专业互补、层级清晰、响应迅速” 为原则，构建 “总控 - 中心 - 一线” 三级团队架构，融合医疗、护理、社工等多元力量，形成覆盖 11 个标段的服务网络，符合《促进医养结合服务高质量发展的指导意见》中 “优化团队服务” 的政策要求。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（一）三级团队组织架构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总控中心核心管理团队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配置标准：设项目总经理 1 名、运营总监 1 名、人力资源经理 1 名、质量监督主管 1 名、医疗督导 1 名（执业医师资质），均需具备 5 年以上养老服务管理经验。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核心职能：统筹团队建设规划、制定管理标准、调配跨区域资源、对接民政与医疗主管部门，确保 11 个标段团队运营同质化。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居家养老服务中心执行团队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配置标准：每个服务中心设主任 1 名、护士长 1 名、社工 2 名、护理组长 3 名、护理员 N 名（按服务对象 1:8 比例配置）、机动人员 2-3 名，其中护士长需具备注册护士资质，护理组长需持有养老护理员高级证书。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核心职能：落实人员排班、开展日常培训、执行服务监督、处理突发问题，作为团队管理的 “中枢节点”。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一线服务专项团队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分组：按服务类型组建专项小组，包括基础照护组（负责轻度失能老人服务）、失能照护组（负责中重度失能老人专业照护）、医疗协同组（含兼职医生、护士，负责健康监测与用药指导）、综合服务组（社工 + 志愿者，负责慰问与公益服务）。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协作机制：实行 “1+N” 分组服务模式，即 1 名护理组长带领 N 名护理员 + 1 名社工 + 1 名医疗人员，每组服务 30-40 名老人，确保服务专业性与连贯性。</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（二）岗位职责说明书（核心岗位）</w:t>
      </w:r>
      <w:r/>
    </w:p>
    <w:tbl>
      <w:tblPr>
        <w:tblStyle w:val="686"/>
        <w:tblW w:w="9855" w:type="dxa"/>
        <w:tblInd w:w="96" w:type="dxa"/>
        <w:tblBorders>
          <w:top w:val="single" w:color="DEE0E3" w:sz="4" w:space="0"/>
          <w:left w:val="single" w:color="DEE0E3" w:sz="4" w:space="0"/>
          <w:bottom w:val="single" w:color="DEE0E3" w:sz="4" w:space="0"/>
          <w:right w:val="single" w:color="DEE0E3"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853"/>
        <w:gridCol w:w="2503"/>
        <w:gridCol w:w="2995"/>
        <w:gridCol w:w="2504"/>
      </w:tblGrid>
      <w:tr>
        <w:trPr>
          <w:tblHeader/>
        </w:trPr>
        <w:tc>
          <w:tcPr>
            <w:shd w:val="clear" w:color="auto" w:fill="auto"/>
            <w:tcBorders>
              <w:top w:val="single" w:color="auto" w:sz="12"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岗位</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任职资格</w:t>
            </w:r>
            <w:r/>
          </w:p>
        </w:tc>
        <w:tc>
          <w:tcPr>
            <w:shd w:val="clear" w:color="auto" w:fill="auto"/>
            <w:tcBorders>
              <w:top w:val="single" w:color="auto" w:sz="12"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核心职责</w:t>
            </w:r>
            <w:r/>
          </w:p>
        </w:tc>
        <w:tc>
          <w:tcPr>
            <w:shd w:val="clear" w:color="auto" w:fill="auto"/>
            <w:tcBorders>
              <w:top w:val="single" w:color="auto" w:sz="12"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center"/>
              <w:rPr>
                <w:rFonts w:ascii="仿宋" w:hAnsi="仿宋" w:eastAsia="仿宋" w:cs="仿宋"/>
                <w:b/>
                <w:sz w:val="28"/>
                <w:szCs w:val="28"/>
              </w:rPr>
            </w:pPr>
            <w:r>
              <w:rPr>
                <w:rFonts w:ascii="仿宋" w:hAnsi="仿宋" w:eastAsia="仿宋" w:cs="仿宋"/>
                <w:b/>
                <w:sz w:val="28"/>
                <w:szCs w:val="28"/>
              </w:rPr>
              <w:t xml:space="preserve">协作关系</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服务中心主任</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本科及以上学历，3 年以上养老机构管理经验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制定中心团队工作计划、管控服务质量、对接民政部门、处理重大投诉</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对上向运营总监汇报，对下统筹中心所有人员</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护士长</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注册护士资质，2 年以上老年护理经验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制定护理服务规范、开展护理技能培训、监督用药安全、处理医疗类突发情况</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配合中心主任工作，指导护理组长与护理员</w:t>
            </w:r>
            <w:r/>
          </w:p>
        </w:tc>
      </w:tr>
      <w:tr>
        <w:trPr/>
        <w:tc>
          <w:tcPr>
            <w:shd w:val="clear" w:color="auto" w:fill="auto"/>
            <w:tcBorders>
              <w:top w:val="single" w:color="auto" w:sz="4" w:space="0"/>
              <w:left w:val="single" w:color="auto" w:sz="12" w:space="0"/>
              <w:bottom w:val="single" w:color="auto" w:sz="4"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护理组长</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养老护理员高级证书，1 年以上组长经验</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分配小组服务任务、带领组员执行服务、每日复盘服务问题、新员工带教</w:t>
            </w:r>
            <w:r/>
          </w:p>
        </w:tc>
        <w:tc>
          <w:tcPr>
            <w:shd w:val="clear" w:color="auto" w:fill="auto"/>
            <w:tcBorders>
              <w:top w:val="single" w:color="auto" w:sz="4" w:space="0"/>
              <w:left w:val="single" w:color="auto" w:sz="4" w:space="0"/>
              <w:bottom w:val="single" w:color="auto" w:sz="4"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接受护士长指导，管理小组护理员</w:t>
            </w:r>
            <w:r/>
          </w:p>
        </w:tc>
      </w:tr>
      <w:tr>
        <w:trPr/>
        <w:tc>
          <w:tcPr>
            <w:shd w:val="clear" w:color="auto" w:fill="auto"/>
            <w:tcBorders>
              <w:top w:val="single" w:color="auto" w:sz="4" w:space="0"/>
              <w:left w:val="single" w:color="auto" w:sz="12" w:space="0"/>
              <w:bottom w:val="single" w:color="auto" w:sz="12" w:space="0"/>
              <w:right w:val="single" w:color="auto" w:sz="4" w:space="0"/>
            </w:tcBorders>
            <w:tcMar>
              <w:left w:w="96" w:type="dxa"/>
              <w:top w:w="108" w:type="dxa"/>
              <w:right w:w="96" w:type="dxa"/>
              <w:bottom w:w="108" w:type="dxa"/>
            </w:tcMar>
            <w:tcW w:w="185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社工</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503"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社会工作师资质，擅长老年心理疏导</w:t>
            </w:r>
            <w:r/>
          </w:p>
        </w:tc>
        <w:tc>
          <w:tcPr>
            <w:shd w:val="clear" w:color="auto" w:fill="auto"/>
            <w:tcBorders>
              <w:top w:val="single" w:color="auto" w:sz="4" w:space="0"/>
              <w:left w:val="single" w:color="auto" w:sz="4" w:space="0"/>
              <w:bottom w:val="single" w:color="auto" w:sz="12" w:space="0"/>
              <w:right w:val="single" w:color="auto" w:sz="4" w:space="0"/>
            </w:tcBorders>
            <w:tcMar>
              <w:left w:w="96" w:type="dxa"/>
              <w:top w:w="108" w:type="dxa"/>
              <w:right w:w="96" w:type="dxa"/>
              <w:bottom w:w="108" w:type="dxa"/>
            </w:tcMar>
            <w:tcW w:w="2995"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开展老人需求评估、组织慰问活动、收集反馈意见、链接公益资源</w:t>
            </w:r>
            <w:r/>
          </w:p>
        </w:tc>
        <w:tc>
          <w:tcPr>
            <w:shd w:val="clear" w:color="auto" w:fill="auto"/>
            <w:tcBorders>
              <w:top w:val="single" w:color="auto" w:sz="4" w:space="0"/>
              <w:left w:val="single" w:color="auto" w:sz="4" w:space="0"/>
              <w:bottom w:val="single" w:color="auto" w:sz="12" w:space="0"/>
              <w:right w:val="single" w:color="auto" w:sz="12" w:space="0"/>
            </w:tcBorders>
            <w:tcMar>
              <w:left w:w="96" w:type="dxa"/>
              <w:top w:w="108" w:type="dxa"/>
              <w:right w:w="96" w:type="dxa"/>
              <w:bottom w:w="108" w:type="dxa"/>
            </w:tcMar>
            <w:tcW w:w="2504" w:type="dxa"/>
            <w:vAlign w:val="center"/>
            <w:textDirection w:val="lrTb"/>
            <w:noWrap w:val="false"/>
          </w:tcPr>
          <w:p>
            <w:pPr>
              <w:jc w:val="left"/>
              <w:rPr>
                <w:rFonts w:ascii="仿宋" w:hAnsi="仿宋" w:eastAsia="仿宋" w:cs="仿宋"/>
                <w:sz w:val="28"/>
                <w:szCs w:val="28"/>
              </w:rPr>
            </w:pPr>
            <w:r>
              <w:rPr>
                <w:rFonts w:ascii="仿宋" w:hAnsi="仿宋" w:eastAsia="仿宋" w:cs="仿宋"/>
                <w:sz w:val="28"/>
                <w:szCs w:val="28"/>
              </w:rPr>
              <w:t xml:space="preserve">跨小组协作，配合所有服务团队开展工作</w:t>
            </w:r>
            <w:r/>
          </w:p>
        </w:tc>
      </w:tr>
    </w:tbl>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②团队全流程管理机制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（一）人员准入与配置管理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精准招聘体系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招聘标准：护理员需持中级及以上养老护理员证书，且通过 “爱心测试”（模拟照护场景考核同理心）；医疗人员需具备相应执业资质，退休医务人员优先录用（符合政策鼓励方向）。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招聘渠道：与本地职业院校、养老护理培训机构建立合作，定向输送毕业生；通过民政部门推荐，吸纳有经验的居家照护人员；开通 “退休医务人员绿色通道”，简化招聘流程。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入职流程：实行 “3 步准入制”—— 资料审核（资质 + 背景调查）→ 技能考核（实操 + 理论）→ 岗前培训（7 天），全部合格后方可签订劳务或临时用工协议。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动态配置机制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弹性调配：总控中心建立 “人员储备库”，收录待岗护理员、兼职医疗人员信息，当某标段服务量激增或人员请假时，4 小时内完成跨中心调配。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区域适配：根据各标段特点配置人员，如水乡区域（5 标段）优先配置熟悉水上交通的本地护理员；偏远区域（10 标段）增加机动人员配置，确保服务覆盖。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配比标准：严格执行 “服务对象与护理员配比”，轻度失能老人 1:10、中度失能老人 1:6、重度失能老人 1:3，保障服务质量不缩水。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（二）专业化培训管理</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构建 “四级培训体系”，覆盖岗前、在岗、专项、晋升全周期，提升团队专业能力，落实 “强化队伍建设” 政策要求。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岗前培训（7 天，100% 通过考核方可上岗）</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培训内容：政策法规（《泰州市养老服务条例》）、服务标准（《居家养老上门服务操作手册》）、基础技能（血压测量、助浴规范）、安全规范（应急处置、隐私保护）。</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考核方式：理论笔试（占 40%）+ 实操模拟（占 60%），如模拟为重度失能老人翻身叩背、处理突发低血糖等场景。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在岗培训（常态化开展）</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月度集中培训：每月最后一周开展，内容包括技能强化（如心肺复苏复训、鼻饲管护理）、政策更新（民政补贴政策调整）、案例复盘（分享服务纠纷处理经验）。</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每周小组培训：由护理组长组织，聚焦实操问题，如 “如何与认知障碍老人有效沟通”“冬季防滑照护要点”，每次培训不少于 1 小时。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线上自主学习：搭建 “银龄服务学堂” 线上平台，上传培训视频、知识手册，要求护理员每月完成 8 课时学习，计入考核。</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专项技能培训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针对医疗人员：每季度开展 “用药安全” 专项培训，邀请三甲医院药师讲解老年慢性病用药禁忌，强化药品管理能力。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针对护理员：每年开展 2 次 “失能照护技能竞赛”，内容包括压疮预防、康复训练等，获奖人员纳入 “星级护理员” 评选。</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针对社工：联合心理机构开展 “老年心理疏导” 培训，提升处理抑郁、焦虑情绪的能力。</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晋升培训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管理序列：为护理组长开设 “管理能力提升班”，内容包括排班管理、团队激励、冲突处理，培养储备中心主任。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专业序列：为优秀护理员提供 “高级护理员认证培训”“健康管理师考证补贴”，打通专业发展通道。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（三）绩效考核与激励管理</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建立 “以服务质量为核心、兼顾过程与结果” 的考核激励体系，激发团队积极性与归属感。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分层级考核指标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一线护理员：实行 “361” 考核模式 —— 服务质量（30%，含日志完整性、操作规范）、老人满意度（60%，含回访评分、投诉情况）、团队协作（10%，组长评价）。</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护理组长：增加 “小组管理指标”（占 20%），包括组员考核通过率、小组服务完成率、新员工带教效果。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中心主任：重点考核 “团队效能指标”（占 40%），包括服务中心满意度、人员流失率、预算执行率。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多元化激励机制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物质激励：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月度绩效奖：根据考核得分发放，优秀者可拿基本工资的 50%（如基本工资 4500 元，绩效最高 2250 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季度评优奖：评选 “星级护理员”（10% 比例）、“优秀组长”（5% 比例），分别奖励 1000 元、2000 元 + 荣誉证书。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年度贡献奖：对工作满 1 年且考核优秀者，发放工龄补贴（100 元 / 月起，逐年递增）；满 3 年者奖励 5000 元留任奖金。</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精神激励：</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建立 “服务光荣榜”：在各服务中心公示优秀员工事迹，每季度组织 “优秀员工分享会”。</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职业荣誉：为工作满 5 年的员工颁发 “终身服务奖”，邀请民政部门领导颁奖，增强职业认同感。</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福利保障：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基础保障：为所有员工缴纳五险一金，购买意外险、医疗险，每月 10 日前足额发薪。</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人文关怀：每月设立 “员工关爱日”，提供免费体检、理发服务；重大节日发放慰问礼包；为偏远区域员工提供住宿补贴。</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（四）沟通与协作管理</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多层级沟通机制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每日沟通：早会（8:00）明确任务，晚会（18:30）复盘问题；护理员通过智能 APP 实时上报服务动态。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每周沟通：每周一召开 “中心协调会”，主任、护士长、组长共同商议团队管理问题；每周三开展 “员工座谈会”，收集一线意见（如排班不合理、物资短缺）。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每月沟通：总控中心组织 “标段交流会”，各中心分享团队管理经验；向所有员工推送《月度团队简报》，公开考核结果、优秀案例。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跨专业协作机制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联合评估：新服务对象入住时，护理员、社工、医疗人员联合开展入户评估，共同制定服务方案。</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应急联动：老人突发疾病时，护理员立即上报，护士长同步联系社区医生，社工通知家属，形成 “3 分钟响应、30 分钟处置” 的协作闭环。</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信息共享：通过养老服务信息系统，实时同步老人健康数据、服务记录、反馈意见，确保团队成员 “信息同频”。</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③团队风险防范与应对体系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（一）人员管理风险防范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人员流失风险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风险预警：建立 “流失风险评分表”，从工作满意度（低于 80 分）、请假频次（月超 3 次）、薪酬敏感度（多次咨询加薪）等维度识别高风险人员。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应对措施：对高风险人员开展 1 对 1 访谈，解决实际困难（如调整排班、增加补贴）；建立 “员工互助基金”，为困难员工提供临时援助；优化晋升通道，明确 “护理员→组长→护士长→主任” 的成长路径。</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兜底保障：总控中心储备 10% 的机动人员，当出现人员流失时，立即启动储备人员补位，确保服务不中断。</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人员操作风险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事前预防：严格执行 “岗前培训 + 考核”，未达标者严禁上岗；每月开展 “操作规范大检查”，重点核查重度失能老人照护、用药指导等高危环节。</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事中控制：要求护理员服务时全程开启智能终端录音录像（经老人同意），护士长每日抽查 10% 的服务记录，发现不规范操作立即叫停并整改。</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事后处置：建立 “操作失误分级处理机制”—— 轻度失误（如记录错误）扣绩效分 + 重新培训；重度失误（如用药错误、造成老人受伤）立即停岗 + 专项整改 + 追责，情节严重者解除劳务或临时用工协议并上报民政部门。</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人员道德风险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预防措施：入职前开展背景调查，排查失信、犯罪记录；每月开展 “职业道德培训”，强调廉洁服务、隐私保护（如不得泄露老人家庭信息、不得接受馈赠）。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监督机制：开通 “道德投诉热线”，鼓励老人及家属举报索要财物、态度恶劣等行为；总控中心每季度开展 “匿名满意度调查”，专门收集道德评价相关意见。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处置措施：一经核实道德违规，立即解除劳务或临时用工协议，纳入 “养老服务行业黑名单”，并向社会公示。</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（二）团队协作风险防范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跨岗位协作不畅风险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风险表现：护理员与医疗人员信息不同步（如未告知老人血压异常）、社工与护理员服务冲突（如活动时间与照护时间重叠）。</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应对措施：制定《跨岗位协作手册》，明确信息传递流程（如护理员需每日向医疗人员同步老人健康数据）、服务衔接标准（如社工组织活动前需与护理组长确认老人身体状况）；每月开展 1 次跨岗位模拟演练，提升协作熟练度。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跨标段资源调配风险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风险表现：某标段突发大量服务需求（如新增重度失能老人），人员、物资不足。</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应对措施：建立 “跨标段联动机制”，总控中心实时监控各标段服务负荷，当某标段负荷超过 90% 时，自动触发资源调配指令，从负荷低于 70% 的标段抽调人员、物资支援；与本地养老机构签订 “应急协作协议”，紧急时可借用其护理人员。</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（三）团队安全风险防范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人员人身安全风险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出行安全：为护理员配备带有定位功能的智能手环，设置 “安全区域”，离开服务区域或超过 2 小时无移动时自动报警；为偏远区域护理员提供专用交通工具（如电动车），并购买交通意外险。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服务安全：培训护理员应对突发危险（如老人情绪激动打人、家中燃气泄漏）的处置方法，要求服务前先检查环境安全；为护理员配备应急包（含防刺手套、辣椒水、急救药品）。</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健康安全：定期组织员工体检，每年 2 次；提供职业防护培训（如接触传染病老人时的防护措施），配备防护用品（口罩、手套、防护服）。</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应急处置能力不足风险</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预防措施：每月开展 1 次应急演练，场景包括老人突发心梗、服务途中遇交通事故、中心火灾等；为每个服务中心配置应急指挥小组，由主任担任组长，确保快速响应。</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处置流程：建立 “团队应急四步法”—— 第一步：一线人员立即上报（3 分钟内）；第二步：中心应急小组启动预案（5 分钟内）；第三步：跨部门协同处置（30 分钟内）；第四步：事后复盘优化（24 小时内）。</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④团队管理效果评估与持续优化</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（一）量化评估指标体系</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团队效能指标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人员指标：持证上岗率 100%、人员流失率≤8%/ 年、培训考核通过率≥95%。</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服务指标：服务完成率≥98%、操作规范达标率 100%、跨岗位协作失误率≤1%。</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满意度指标：老人对团队服务满意度≥95%、员工对管理满意度≥90%。</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评估频次与方式</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月度评估：服务中心自查，通过查看日志、回访老人、考核员工等方式开展，形成《月度团队管理报告》。</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季度评估：总控中心抽查，每个标段抽取 2 个服务中心进行现场评估，重点核查考核指标完成情况。</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年度评估：联合民政部门开展全面评估，结合服务数据、老人反馈、现场检查结果，评选 “优秀服务团队”“优秀管理者”。</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（二）持续优化机制</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反馈收集渠道</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内部反馈：每月开展员工满意度调查，每季度召开 “管理优化座谈会”，收集团队管理改进建议。</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外部反馈：通过老人满意度问卷、家属访谈、民政部门意见等，获取服务对象对团队的评价。</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优化实施流程</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问题分析：对评估发现的问题进行分类（如人员问题、协作问题、激励问题），明确责任部门（总控中心或服务中心）。</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整改落实：制定《问题整改计划表》，明确整改措施、完成时限（如人员流失率过高则 1 个月内出台留任激励政策），总控中心跟踪整改进度。</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经验推广：将 “优秀服务团队” 的管理经验（如某中心的 “组长带教模式”）整理成案例，在所有标段推广；每半年组织 1 次 “团队管理经验交流会”，促进相互学习。</w:t>
      </w:r>
      <w:r/>
    </w:p>
    <w:p>
      <w:pPr>
        <w:ind w:firstLine="518"/>
        <w:spacing w:line="560" w:lineRule="exact"/>
        <w:rPr>
          <w:rFonts w:ascii="仿宋" w:hAnsi="仿宋" w:eastAsia="仿宋" w:cs="仿宋"/>
          <w:b/>
          <w:bCs/>
          <w:sz w:val="28"/>
          <w:szCs w:val="28"/>
        </w:rPr>
      </w:pPr>
      <w:r>
        <w:rPr>
          <w:rFonts w:hint="eastAsia" w:ascii="仿宋" w:hAnsi="仿宋" w:eastAsia="仿宋" w:cs="仿宋"/>
          <w:b/>
          <w:bCs/>
          <w:sz w:val="28"/>
          <w:szCs w:val="28"/>
        </w:rPr>
        <w:t xml:space="preserve">⑤团队管理保障措施</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（一）制度保障</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制定《团队管理手册》《人员招聘与培训管理办法》《绩效考核与激励办法》《风险防范与处置办法》等 10 项核心制度，形成 “有章可依、有规可循” 的管理体系，并根据政策变化（如民政部门要求调整）每季度更新 1 次。</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（二）资源保障</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资金保障：团队管理经费按总预算的 15% 专项列支，用于人员培训、激励奖金、应急储备等，确保各项管理措施落地。</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技术保障：依托智能服务管理系统，实现人员排班、培训记录、考核评估、风险预警的数字化管理，提升管理效率。</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外部资源保障：与本地三甲医院、职业院校、公益组织建立长期合作，为团队提供医疗支持、培训师资、志愿者补充等资源。</w:t>
      </w:r>
      <w:r/>
    </w:p>
    <w:p>
      <w:pPr>
        <w:ind w:firstLine="518"/>
        <w:spacing w:line="560" w:lineRule="exact"/>
        <w:rPr>
          <w:rFonts w:ascii="仿宋" w:hAnsi="仿宋" w:eastAsia="仿宋" w:cs="仿宋"/>
          <w:sz w:val="28"/>
          <w:szCs w:val="28"/>
        </w:rPr>
      </w:pPr>
      <w:r>
        <w:rPr>
          <w:rFonts w:hint="eastAsia" w:ascii="仿宋" w:hAnsi="仿宋" w:eastAsia="仿宋" w:cs="仿宋"/>
          <w:sz w:val="28"/>
          <w:szCs w:val="28"/>
        </w:rPr>
        <w:t xml:space="preserve">（三）组织保障</w:t>
      </w:r>
      <w:r/>
    </w:p>
    <w:p>
      <w:pPr>
        <w:ind w:firstLine="518"/>
        <w:spacing w:line="560" w:lineRule="exact"/>
        <w:rPr>
          <w:rFonts w:ascii="仿宋" w:hAnsi="仿宋" w:eastAsia="仿宋" w:cs="仿宋"/>
          <w:sz w:val="28"/>
          <w:szCs w:val="28"/>
        </w:rPr>
      </w:pPr>
      <w:r>
        <w:rPr>
          <w:rFonts w:ascii="仿宋" w:hAnsi="仿宋" w:eastAsia="仿宋" w:cs="仿宋"/>
          <w:sz w:val="28"/>
          <w:szCs w:val="28"/>
        </w:rPr>
        <w:t xml:space="preserve">成立 “团队管理专项工作组”，由项目总经理任组长，运营总监、人力资源经理任副组长，各服务中心主任为成员，每月召开 1 次工作会议，统筹解决团队管理中的重大问题；定期向民政部门汇报团队建设情况，争取政策支持（如培训补贴、优秀员工表彰）。</w:t>
      </w:r>
      <w:r/>
    </w:p>
    <w:p>
      <w:pPr>
        <w:rPr>
          <w:rFonts w:ascii="仿宋" w:hAnsi="仿宋" w:eastAsia="仿宋" w:cs="仿宋"/>
          <w:sz w:val="28"/>
          <w:szCs w:val="28"/>
        </w:rPr>
      </w:pPr>
      <w:r>
        <w:rPr>
          <w:rFonts w:hint="eastAsia" w:ascii="仿宋" w:hAnsi="仿宋" w:eastAsia="仿宋" w:cs="仿宋"/>
          <w:sz w:val="28"/>
          <w:szCs w:val="28"/>
        </w:rPr>
        <w:br w:type="page" w:clear="all"/>
      </w:r>
      <w:r/>
    </w:p>
    <w:p>
      <w:pPr>
        <w:pStyle w:val="734"/>
      </w:pPr>
      <w:r/>
      <w:r/>
    </w:p>
    <w:p>
      <w:pPr>
        <w:rPr>
          <w:sz w:val="28"/>
          <w:szCs w:val="28"/>
        </w:rPr>
      </w:pPr>
      <w:r>
        <w:rPr>
          <w:sz w:val="28"/>
          <w:szCs w:val="28"/>
        </w:rPr>
      </w:r>
      <w:r/>
    </w:p>
    <w:p>
      <w:pPr>
        <w:jc w:val="center"/>
        <w:widowControl/>
        <w:rPr>
          <w:rFonts w:ascii="黑体" w:hAnsi="Century Schoolbook" w:eastAsia="黑体"/>
          <w:color w:val="000000"/>
          <w:spacing w:val="-4"/>
          <w:sz w:val="36"/>
          <w:szCs w:val="20"/>
        </w:rPr>
      </w:pPr>
      <w:r>
        <w:rPr>
          <w:rFonts w:hint="eastAsia" w:ascii="黑体" w:hAnsi="Century Schoolbook" w:eastAsia="黑体"/>
          <w:color w:val="000000"/>
          <w:spacing w:val="-4"/>
          <w:sz w:val="36"/>
          <w:szCs w:val="20"/>
        </w:rPr>
        <w:t xml:space="preserve">第七章  投标文件相关格式</w:t>
      </w:r>
      <w:r/>
    </w:p>
    <w:p>
      <w:pPr>
        <w:jc w:val="center"/>
        <w:rPr>
          <w:rFonts w:ascii="仿宋" w:hAnsi="仿宋" w:eastAsia="仿宋" w:cs="仿宋"/>
          <w:color w:val="000000"/>
          <w:sz w:val="24"/>
        </w:rPr>
      </w:pPr>
      <w:r>
        <w:rPr>
          <w:rFonts w:ascii="仿宋" w:hAnsi="仿宋" w:eastAsia="仿宋" w:cs="仿宋"/>
          <w:color w:val="000000"/>
          <w:sz w:val="24"/>
        </w:rPr>
      </w:r>
      <w:r/>
    </w:p>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697"/>
        <w:ind w:left="1323" w:right="1323"/>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 投标函</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 开标一览表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 分项价格表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4. 偏离表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5. 属于正偏离技术参数的有效证明材料</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6. “采购需求”部分要求提供或评分办法中涉及评审事项的证书、承诺、材料等复印件及方案内容</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7. 法定代表人授权书及法定代表人身份证明书</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8. 投标人参加政府采购活动前3年内在经营活动中没有重大违法记录的书面声明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9. 具备履行合同所必需的设备和专业技术能力的书面声明</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10. 投标人相似业绩一览表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11. （投标人）中小企业声明函（格式）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12.（投标人）残疾人福利性单位声明函（格式）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13.（投标人）监狱企业证明材料（格式）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14.联合体协议书（格式）</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15.其他投标单位认为有必要提交的材料</w:t>
      </w:r>
      <w:r/>
    </w:p>
    <w:p>
      <w:pPr>
        <w:pStyle w:val="734"/>
      </w:pPr>
      <w:r>
        <w:t xml:space="preserve">………</w:t>
      </w:r>
      <w:r>
        <w:rPr>
          <w:rFonts w:hint="eastAsia"/>
        </w:rPr>
        <w:t xml:space="preserve">.</w:t>
      </w:r>
      <w:r/>
    </w:p>
    <w:p>
      <w:pPr>
        <w:spacing w:line="360" w:lineRule="auto"/>
        <w:rPr>
          <w:rFonts w:ascii="仿宋" w:hAnsi="仿宋" w:eastAsia="仿宋" w:cs="仿宋"/>
          <w:color w:val="000000"/>
          <w:sz w:val="24"/>
        </w:rPr>
      </w:pPr>
      <w:r>
        <w:rPr>
          <w:rFonts w:ascii="仿宋" w:hAnsi="仿宋" w:eastAsia="仿宋" w:cs="仿宋"/>
          <w:color w:val="000000"/>
          <w:sz w:val="24"/>
        </w:rPr>
      </w:r>
      <w:r/>
    </w:p>
    <w:p>
      <w:pPr>
        <w:jc w:val="center"/>
        <w:rPr>
          <w:rFonts w:ascii="仿宋" w:hAnsi="仿宋" w:eastAsia="仿宋" w:cs="仿宋"/>
          <w:color w:val="000000"/>
          <w:sz w:val="28"/>
          <w:szCs w:val="28"/>
        </w:rPr>
      </w:pPr>
      <w:r>
        <w:rPr>
          <w:rFonts w:hint="eastAsia" w:asciiTheme="minorEastAsia" w:hAnsiTheme="minorEastAsia" w:eastAsiaTheme="minorEastAsia" w:cstheme="minorBidi"/>
          <w:color w:val="000000"/>
          <w:sz w:val="24"/>
        </w:rPr>
        <w:br w:type="page" w:clear="all"/>
      </w:r>
      <w:r>
        <w:rPr>
          <w:rFonts w:hint="eastAsia" w:ascii="仿宋" w:hAnsi="仿宋" w:eastAsia="仿宋" w:cs="仿宋"/>
          <w:color w:val="000000"/>
          <w:sz w:val="28"/>
          <w:szCs w:val="28"/>
        </w:rPr>
        <w:t xml:space="preserve">1. 投标函</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u w:val="single"/>
        </w:rPr>
        <w:t xml:space="preserve"> 江苏久格工程项目管理有限公司</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项目[项目编号：              ]招标文件，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(姓名)代表我方______________（投标人的名称）全权处理本次投标的有关事宜。</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据此函，投标人承诺并同意如下： </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1. 投标人唯一投标报价见《开标一览表》。</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2. 投标人将按招标文件的规定履行合同责任和义务。</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3. 投标人已详细审查全部招标文件，投标人完全理解并同意放弃对这方面有不明及误解的权力。</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4. 投标有效期为   天。</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5. 投标人在投标初始有效期内撤回投标，其投标保证金将不退还。</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6. 投标人同意提供按照贵方可能要求的与其投标有关的一切数据或资料，完全理解贵方不一定接受最低价的投标或收到的任何投标。</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7.招标文件中关于“投标文件的密封要求”的规定由江苏久格工程项目管理有限公司解释，投标人完全理解招标文件中关于“投标文件的密封要求”的规定。</w:t>
      </w:r>
      <w:r/>
    </w:p>
    <w:p>
      <w:pPr>
        <w:ind w:firstLine="480"/>
        <w:rPr>
          <w:rFonts w:ascii="仿宋" w:hAnsi="仿宋" w:eastAsia="仿宋" w:cs="仿宋"/>
          <w:sz w:val="28"/>
          <w:szCs w:val="28"/>
        </w:rPr>
      </w:pPr>
      <w:r>
        <w:rPr>
          <w:rFonts w:hint="eastAsia" w:ascii="仿宋" w:hAnsi="仿宋" w:eastAsia="仿宋" w:cs="仿宋"/>
          <w:color w:val="000000"/>
          <w:sz w:val="28"/>
          <w:szCs w:val="28"/>
        </w:rPr>
        <w:t xml:space="preserve">8.江苏久格工程项目管理有限公司有权将我单位本项目的《开标一览表》和《分项价格表》予以公示，公示的方式由江苏久格工程项目管理有限公司确定</w:t>
      </w:r>
      <w:r>
        <w:rPr>
          <w:rFonts w:hint="eastAsia" w:ascii="仿宋" w:hAnsi="仿宋" w:eastAsia="仿宋" w:cs="仿宋"/>
          <w:sz w:val="28"/>
          <w:szCs w:val="28"/>
        </w:rPr>
        <w:t xml:space="preserve">。</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rPr>
          <w:rFonts w:ascii="仿宋" w:hAnsi="仿宋" w:eastAsia="仿宋" w:cs="仿宋"/>
          <w:color w:val="000000"/>
          <w:sz w:val="28"/>
          <w:szCs w:val="28"/>
        </w:rPr>
      </w:pPr>
      <w:r>
        <w:rPr>
          <w:rFonts w:hint="eastAsia" w:ascii="仿宋" w:hAnsi="仿宋" w:eastAsia="仿宋" w:cs="仿宋"/>
          <w:color w:val="000000"/>
          <w:sz w:val="28"/>
          <w:szCs w:val="28"/>
        </w:rPr>
        <w:t xml:space="preserve">10. 与本投标有关的一切正式往来信函请寄：</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ind w:firstLine="3000"/>
        <w:rPr>
          <w:rFonts w:ascii="仿宋" w:hAnsi="仿宋" w:eastAsia="仿宋" w:cs="仿宋"/>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pStyle w:val="734"/>
      </w:pPr>
      <w:r/>
      <w:r/>
    </w:p>
    <w:p>
      <w:pPr>
        <w:ind w:firstLine="480"/>
        <w:jc w:val="right"/>
        <w:rPr>
          <w:rFonts w:ascii="仿宋" w:hAnsi="仿宋" w:eastAsia="仿宋" w:cs="仿宋"/>
          <w:color w:val="c00000"/>
          <w:sz w:val="28"/>
          <w:szCs w:val="28"/>
        </w:rPr>
      </w:pPr>
      <w:r>
        <w:rPr>
          <w:rFonts w:hint="eastAsia" w:ascii="仿宋" w:hAnsi="仿宋" w:eastAsia="仿宋" w:cs="仿宋"/>
          <w:color w:val="000000"/>
          <w:sz w:val="28"/>
          <w:szCs w:val="28"/>
        </w:rPr>
        <w:t xml:space="preserve">            日期：   年  月  日</w:t>
      </w:r>
      <w:r/>
    </w:p>
    <w:p>
      <w:pPr>
        <w:rPr>
          <w:rFonts w:ascii="仿宋" w:hAnsi="仿宋" w:eastAsia="仿宋" w:cs="仿宋"/>
          <w:sz w:val="28"/>
          <w:szCs w:val="28"/>
        </w:rPr>
      </w:pPr>
      <w:r>
        <w:rPr>
          <w:rFonts w:ascii="仿宋" w:hAnsi="仿宋" w:eastAsia="仿宋" w:cs="仿宋"/>
          <w:sz w:val="28"/>
          <w:szCs w:val="28"/>
        </w:rPr>
        <w:br w:type="page" w:clear="all"/>
      </w:r>
      <w:r/>
    </w:p>
    <w:p>
      <w:pPr>
        <w:pStyle w:val="734"/>
      </w:pPr>
      <w:r/>
      <w:r/>
    </w:p>
    <w:p>
      <w:pPr>
        <w:rPr>
          <w:rFonts w:ascii="仿宋" w:hAnsi="仿宋" w:eastAsia="仿宋" w:cs="仿宋"/>
          <w:sz w:val="28"/>
          <w:szCs w:val="28"/>
        </w:rPr>
      </w:pPr>
      <w:r>
        <w:rPr>
          <w:rFonts w:ascii="仿宋" w:hAnsi="仿宋" w:eastAsia="仿宋" w:cs="仿宋"/>
          <w:sz w:val="28"/>
          <w:szCs w:val="28"/>
        </w:rPr>
      </w:r>
      <w:r/>
    </w:p>
    <w:p>
      <w:pPr>
        <w:jc w:val="center"/>
        <w:rPr>
          <w:rFonts w:ascii="仿宋" w:hAnsi="仿宋" w:eastAsia="仿宋" w:cs="仿宋"/>
          <w:sz w:val="28"/>
          <w:szCs w:val="28"/>
        </w:rPr>
      </w:pPr>
      <w:r>
        <w:rPr>
          <w:rFonts w:hint="eastAsia" w:ascii="仿宋" w:hAnsi="仿宋" w:eastAsia="仿宋" w:cs="仿宋"/>
          <w:sz w:val="28"/>
          <w:szCs w:val="28"/>
        </w:rPr>
        <w:t xml:space="preserve">2．开标一览表</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项目编</w:t>
      </w:r>
      <w:r>
        <w:rPr>
          <w:rFonts w:hint="eastAsia" w:ascii="仿宋" w:hAnsi="仿宋" w:eastAsia="仿宋" w:cs="仿宋"/>
          <w:sz w:val="28"/>
          <w:szCs w:val="28"/>
        </w:rPr>
        <w:t xml:space="preserve">号：</w:t>
      </w:r>
      <w:r>
        <w:rPr>
          <w:rFonts w:hint="eastAsia" w:ascii="仿宋" w:hAnsi="仿宋" w:eastAsia="仿宋" w:cs="仿宋"/>
          <w:sz w:val="28"/>
          <w:szCs w:val="28"/>
          <w:u w:val="single"/>
        </w:rPr>
        <w:t xml:space="preserve">         </w:t>
      </w:r>
      <w:r/>
    </w:p>
    <w:p>
      <w:pPr>
        <w:ind w:firstLine="6240"/>
        <w:rPr>
          <w:rFonts w:ascii="仿宋" w:hAnsi="仿宋" w:eastAsia="仿宋" w:cs="仿宋"/>
          <w:color w:val="000000"/>
          <w:sz w:val="28"/>
          <w:szCs w:val="28"/>
        </w:rPr>
      </w:pPr>
      <w:r>
        <w:rPr>
          <w:rFonts w:hint="eastAsia" w:ascii="仿宋" w:hAnsi="仿宋" w:eastAsia="仿宋" w:cs="仿宋"/>
          <w:color w:val="000000"/>
          <w:sz w:val="28"/>
          <w:szCs w:val="28"/>
        </w:rPr>
        <w:t xml:space="preserve">货币单位：人民币元</w:t>
      </w:r>
      <w:r/>
    </w:p>
    <w:tbl>
      <w:tblPr>
        <w:tblStyle w:val="686"/>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详见投标文件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pStyle w:val="694"/>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3．分项价格表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项目编号：    </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                　                            货币单位：人民币元</w:t>
      </w:r>
      <w:r/>
    </w:p>
    <w:p>
      <w:pPr>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（格式自制）</w:t>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pStyle w:val="709"/>
        <w:rPr>
          <w:rFonts w:ascii="仿宋" w:hAnsi="仿宋" w:eastAsia="仿宋" w:cs="仿宋"/>
          <w:sz w:val="28"/>
          <w:szCs w:val="28"/>
        </w:rPr>
      </w:pPr>
      <w:r>
        <w:rPr>
          <w:rFonts w:ascii="仿宋" w:hAnsi="仿宋" w:eastAsia="仿宋" w:cs="仿宋"/>
          <w:sz w:val="28"/>
          <w:szCs w:val="28"/>
        </w:rPr>
      </w:r>
      <w:r/>
    </w:p>
    <w:p>
      <w:pPr>
        <w:pStyle w:val="709"/>
        <w:rPr>
          <w:rFonts w:ascii="仿宋" w:hAnsi="仿宋" w:eastAsia="仿宋" w:cs="仿宋"/>
          <w:sz w:val="28"/>
          <w:szCs w:val="28"/>
        </w:rPr>
      </w:pPr>
      <w:r>
        <w:rPr>
          <w:rFonts w:ascii="仿宋" w:hAnsi="仿宋" w:eastAsia="仿宋" w:cs="仿宋"/>
          <w:sz w:val="28"/>
          <w:szCs w:val="28"/>
        </w:rPr>
      </w:r>
      <w:r/>
    </w:p>
    <w:p>
      <w:pPr>
        <w:pStyle w:val="709"/>
        <w:rPr>
          <w:rFonts w:ascii="仿宋" w:hAnsi="仿宋" w:eastAsia="仿宋" w:cs="仿宋"/>
          <w:sz w:val="28"/>
          <w:szCs w:val="28"/>
        </w:rPr>
      </w:pPr>
      <w:r>
        <w:rPr>
          <w:rFonts w:ascii="仿宋" w:hAnsi="仿宋" w:eastAsia="仿宋" w:cs="仿宋"/>
          <w:sz w:val="28"/>
          <w:szCs w:val="28"/>
        </w:rPr>
      </w:r>
      <w:r/>
    </w:p>
    <w:p>
      <w:pPr>
        <w:pStyle w:val="709"/>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734"/>
      </w:p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4．偏离表</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项目名称：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项目编号：</w:t>
      </w:r>
      <w:r>
        <w:rPr>
          <w:rFonts w:hint="eastAsia" w:ascii="仿宋" w:hAnsi="仿宋" w:eastAsia="仿宋" w:cs="仿宋"/>
          <w:sz w:val="28"/>
          <w:szCs w:val="28"/>
          <w:u w:val="single"/>
        </w:rPr>
        <w:t xml:space="preserve"> </w:t>
      </w:r>
      <w:r/>
    </w:p>
    <w:tbl>
      <w:tblPr>
        <w:tblStyle w:val="686"/>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295"/>
        <w:gridCol w:w="1305"/>
        <w:gridCol w:w="2319"/>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29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305"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Fonts w:ascii="仿宋" w:hAnsi="仿宋" w:eastAsia="仿宋" w:cs="仿宋"/>
                <w:caps/>
                <w:color w:val="000000"/>
                <w:sz w:val="24"/>
              </w:rPr>
            </w:pPr>
            <w:r>
              <w:rPr>
                <w:rFonts w:hint="eastAsia" w:ascii="仿宋" w:hAnsi="仿宋" w:eastAsia="仿宋" w:cs="仿宋"/>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29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1305"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000000" w:sz="6" w:space="0"/>
              <w:left w:val="single" w:color="000000" w:sz="6" w:space="0"/>
              <w:bottom w:val="single" w:color="000000" w:sz="6" w:space="0"/>
              <w:right w:val="single" w:color="000000" w:sz="6" w:space="0"/>
            </w:tcBorders>
            <w:tcW w:w="2319" w:type="dxa"/>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bl>
    <w:p>
      <w:pPr>
        <w:rPr>
          <w:rFonts w:ascii="仿宋" w:hAnsi="仿宋" w:eastAsia="仿宋" w:cs="仿宋"/>
          <w:color w:val="000000"/>
          <w:sz w:val="24"/>
          <w:u w:val="single"/>
        </w:rPr>
      </w:pPr>
      <w:r>
        <w:rPr>
          <w:rFonts w:ascii="仿宋" w:hAnsi="仿宋" w:eastAsia="仿宋" w:cs="仿宋"/>
          <w:color w:val="000000"/>
          <w:sz w:val="24"/>
          <w:u w:val="single"/>
        </w:rPr>
      </w:r>
      <w:r/>
    </w:p>
    <w:p>
      <w:pPr>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注：投标人的投标文件中的内容与招标文件（含招标文件的澄清或者修改的内容，下同）的要求不同时，逐条列在偏离表中，否则将认为投标人接受招标文件的要求。</w:t>
      </w:r>
      <w:r/>
    </w:p>
    <w:p>
      <w:pPr>
        <w:ind w:firstLine="3000"/>
        <w:spacing w:line="30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300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ind w:firstLine="312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5. 属于正偏离技术参数的有效证明材料</w:t>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6. “采购需求”部分要求提供或评分办法中涉及评审事项的证书、承诺、材料等复印件及方案内容</w:t>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1960"/>
        <w:spacing w:line="36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pStyle w:val="724"/>
        <w:ind w:left="378" w:firstLine="378"/>
      </w:p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7.法定代表人授权书及法定代表人身份证明书</w:t>
      </w:r>
      <w:r/>
    </w:p>
    <w:p>
      <w:pPr>
        <w:jc w:val="center"/>
        <w:spacing w:line="360" w:lineRule="auto"/>
        <w:rPr>
          <w:rFonts w:ascii="仿宋" w:hAnsi="仿宋" w:eastAsia="仿宋" w:cs="仿宋"/>
          <w:sz w:val="28"/>
          <w:szCs w:val="28"/>
        </w:rPr>
      </w:pPr>
      <w:r>
        <w:rPr>
          <w:rFonts w:hint="eastAsia" w:ascii="仿宋" w:hAnsi="仿宋" w:eastAsia="仿宋" w:cs="仿宋"/>
          <w:bCs/>
          <w:sz w:val="28"/>
          <w:szCs w:val="28"/>
        </w:rPr>
        <w:t xml:space="preserve">（1）</w:t>
      </w:r>
      <w:r>
        <w:rPr>
          <w:rFonts w:hint="eastAsia" w:ascii="仿宋" w:hAnsi="仿宋" w:eastAsia="仿宋" w:cs="仿宋"/>
          <w:sz w:val="28"/>
          <w:szCs w:val="28"/>
        </w:rPr>
        <w:t xml:space="preserve">法定代表人授权书</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委托人：</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地  址：</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               职务：</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统一社会信用代码：</w:t>
      </w:r>
      <w:r/>
    </w:p>
    <w:p>
      <w:pPr>
        <w:spacing w:line="360" w:lineRule="auto"/>
        <w:rPr>
          <w:rFonts w:ascii="仿宋" w:hAnsi="仿宋" w:eastAsia="仿宋" w:cs="仿宋"/>
          <w:bCs/>
          <w:sz w:val="28"/>
          <w:szCs w:val="28"/>
        </w:rPr>
      </w:pPr>
      <w:r>
        <w:rPr>
          <w:rFonts w:ascii="仿宋" w:hAnsi="仿宋" w:eastAsia="仿宋" w:cs="仿宋"/>
          <w:bCs/>
          <w:sz w:val="28"/>
          <w:szCs w:val="28"/>
        </w:rPr>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受托人：                   性别：男（女）  </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年龄：  岁                 民族：   族</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职务：</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身份证号：</w:t>
      </w:r>
      <w:r/>
    </w:p>
    <w:p>
      <w:pPr>
        <w:ind w:firstLine="480"/>
        <w:spacing w:line="360" w:lineRule="auto"/>
        <w:rPr>
          <w:rFonts w:ascii="仿宋" w:hAnsi="仿宋" w:eastAsia="仿宋" w:cs="仿宋"/>
          <w:bCs/>
          <w:sz w:val="28"/>
          <w:szCs w:val="28"/>
        </w:rPr>
      </w:pPr>
      <w:r>
        <w:rPr>
          <w:rFonts w:hint="eastAsia" w:ascii="仿宋" w:hAnsi="仿宋" w:eastAsia="仿宋" w:cs="仿宋"/>
          <w:bCs/>
          <w:sz w:val="28"/>
          <w:szCs w:val="28"/>
        </w:rPr>
        <w:t xml:space="preserve">兹委托（       ）全权代表我企业（公司）参与（                           </w:t>
      </w:r>
      <w:r>
        <w:rPr>
          <w:rFonts w:hint="eastAsia" w:ascii="仿宋" w:hAnsi="仿宋" w:eastAsia="仿宋" w:cs="仿宋"/>
          <w:color w:val="000000"/>
          <w:sz w:val="28"/>
          <w:szCs w:val="28"/>
          <w:u w:val="single"/>
        </w:rPr>
        <w:t xml:space="preserve">项目</w:t>
      </w:r>
      <w:r>
        <w:rPr>
          <w:rFonts w:hint="eastAsia" w:ascii="仿宋" w:hAnsi="仿宋" w:eastAsia="仿宋" w:cs="仿宋"/>
          <w:bCs/>
          <w:sz w:val="28"/>
          <w:szCs w:val="28"/>
        </w:rPr>
        <w:t xml:space="preserve">）（项目编号：</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8"/>
          <w:szCs w:val="28"/>
        </w:rPr>
      </w:pPr>
      <w:r>
        <w:rPr>
          <w:rFonts w:hint="eastAsia" w:ascii="仿宋" w:hAnsi="仿宋" w:eastAsia="仿宋" w:cs="仿宋"/>
          <w:bCs/>
          <w:sz w:val="28"/>
          <w:szCs w:val="28"/>
        </w:rPr>
        <w:t xml:space="preserve">特此授权委托。</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委托人（</w:t>
      </w:r>
      <w:r>
        <w:rPr>
          <w:rFonts w:hint="eastAsia" w:ascii="仿宋" w:hAnsi="仿宋" w:eastAsia="仿宋" w:cs="仿宋"/>
          <w:sz w:val="28"/>
          <w:szCs w:val="28"/>
        </w:rPr>
        <w:t xml:space="preserve">电子签章</w:t>
      </w:r>
      <w:r>
        <w:rPr>
          <w:rFonts w:hint="eastAsia" w:ascii="仿宋" w:hAnsi="仿宋" w:eastAsia="仿宋" w:cs="仿宋"/>
          <w:bCs/>
          <w:sz w:val="28"/>
          <w:szCs w:val="28"/>
        </w:rPr>
        <w:t xml:space="preserve">）：                  受托人</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签字</w:t>
      </w:r>
      <w:bookmarkStart w:id="3" w:name="_GoBack"/>
      <w:r/>
      <w:bookmarkEnd w:id="3"/>
      <w:r>
        <w:rPr>
          <w:rFonts w:hint="eastAsia" w:ascii="仿宋" w:hAnsi="仿宋" w:eastAsia="仿宋" w:cs="仿宋"/>
          <w:sz w:val="28"/>
          <w:szCs w:val="28"/>
        </w:rPr>
        <w:t xml:space="preserve">）</w:t>
      </w:r>
      <w:r>
        <w:rPr>
          <w:rFonts w:hint="eastAsia" w:ascii="仿宋" w:hAnsi="仿宋" w:eastAsia="仿宋" w:cs="仿宋"/>
          <w:bCs/>
          <w:sz w:val="28"/>
          <w:szCs w:val="28"/>
        </w:rPr>
        <w:t xml:space="preserve">：</w:t>
      </w:r>
      <w:r/>
    </w:p>
    <w:p>
      <w:pPr>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w:t>
      </w:r>
      <w:r>
        <w:rPr>
          <w:rFonts w:hint="eastAsia" w:ascii="仿宋" w:hAnsi="仿宋" w:eastAsia="仿宋" w:cs="仿宋"/>
          <w:sz w:val="28"/>
          <w:szCs w:val="28"/>
        </w:rPr>
        <w:t xml:space="preserve">（盖电子签章）</w:t>
      </w:r>
      <w:r>
        <w:rPr>
          <w:rFonts w:hint="eastAsia" w:ascii="仿宋" w:hAnsi="仿宋" w:eastAsia="仿宋" w:cs="仿宋"/>
          <w:bCs/>
          <w:sz w:val="28"/>
          <w:szCs w:val="28"/>
        </w:rPr>
        <w:t xml:space="preserve">： </w:t>
      </w:r>
      <w:r/>
    </w:p>
    <w:p>
      <w:pPr>
        <w:ind w:firstLine="720"/>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年   月   日 </w:t>
      </w:r>
      <w:r/>
    </w:p>
    <w:p>
      <w:pPr>
        <w:spacing w:line="360" w:lineRule="auto"/>
        <w:rPr>
          <w:rFonts w:ascii="仿宋" w:hAnsi="仿宋" w:eastAsia="仿宋" w:cs="仿宋"/>
          <w:sz w:val="28"/>
          <w:szCs w:val="28"/>
        </w:rPr>
      </w:pPr>
      <w:r>
        <w:rPr>
          <w:rFonts w:hint="eastAsia" w:ascii="仿宋" w:hAnsi="仿宋" w:eastAsia="仿宋" w:cs="仿宋"/>
          <w:bCs/>
          <w:sz w:val="28"/>
          <w:szCs w:val="28"/>
        </w:rPr>
        <w:t xml:space="preserve">(受托人身份证原件扫描件附后)</w:t>
      </w:r>
      <w:r/>
    </w:p>
    <w:p>
      <w:pPr>
        <w:jc w:val="center"/>
        <w:keepNext/>
        <w:pageBreakBefore/>
        <w:spacing w:line="360" w:lineRule="auto"/>
        <w:widowControl/>
        <w:rPr>
          <w:rFonts w:ascii="仿宋" w:hAnsi="仿宋" w:eastAsia="仿宋" w:cs="仿宋"/>
          <w:sz w:val="28"/>
          <w:szCs w:val="28"/>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法定代表人身份证明书</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单位名称：</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地址：</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姓名：                   性别：</w:t>
      </w:r>
      <w:r/>
    </w:p>
    <w:p>
      <w:pPr>
        <w:ind w:firstLine="480"/>
        <w:spacing w:line="360" w:lineRule="auto"/>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身份证号：               职务：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系我司的法定代表人。为签署（项目编号：</w:t>
      </w:r>
      <w:r>
        <w:rPr>
          <w:rFonts w:hint="eastAsia" w:ascii="仿宋" w:hAnsi="仿宋" w:eastAsia="仿宋" w:cs="仿宋"/>
          <w:bCs/>
          <w:sz w:val="28"/>
          <w:szCs w:val="28"/>
          <w:u w:val="single"/>
        </w:rPr>
        <w:t xml:space="preserve">              </w:t>
      </w:r>
      <w:r>
        <w:rPr>
          <w:rFonts w:hint="eastAsia" w:ascii="仿宋" w:hAnsi="仿宋" w:eastAsia="仿宋" w:cs="仿宋"/>
          <w:sz w:val="28"/>
          <w:szCs w:val="28"/>
        </w:rPr>
        <w:t xml:space="preserve">，项目名称：         </w:t>
      </w:r>
      <w:r>
        <w:rPr>
          <w:rFonts w:hint="eastAsia" w:ascii="仿宋" w:hAnsi="仿宋" w:eastAsia="仿宋" w:cs="仿宋"/>
          <w:color w:val="000000"/>
          <w:sz w:val="28"/>
          <w:szCs w:val="28"/>
          <w:u w:val="single"/>
        </w:rPr>
        <w:t xml:space="preserve">项目</w:t>
      </w:r>
      <w:r>
        <w:rPr>
          <w:rFonts w:hint="eastAsia" w:ascii="仿宋" w:hAnsi="仿宋" w:eastAsia="仿宋" w:cs="仿宋"/>
          <w:sz w:val="28"/>
          <w:szCs w:val="28"/>
        </w:rPr>
        <w:t xml:space="preserve">）投标文件、进行合同谈判、签署合同和处理与之有关的一切事务。</w:t>
      </w:r>
      <w:r/>
    </w:p>
    <w:p>
      <w:pPr>
        <w:spacing w:line="500" w:lineRule="exact"/>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ind w:firstLine="480"/>
        <w:spacing w:line="500" w:lineRule="exact"/>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特此证明。</w:t>
      </w:r>
      <w:r/>
    </w:p>
    <w:p>
      <w:pPr>
        <w:ind w:firstLine="480"/>
        <w:spacing w:line="500" w:lineRule="exact"/>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jc w:val="right"/>
        <w:spacing w:line="360" w:lineRule="auto"/>
        <w:tabs>
          <w:tab w:val="left" w:pos="720" w:leader="none"/>
          <w:tab w:val="left" w:pos="900" w:leader="none"/>
        </w:tabs>
        <w:rPr>
          <w:rFonts w:ascii="仿宋" w:hAnsi="仿宋" w:eastAsia="仿宋" w:cs="仿宋"/>
          <w:sz w:val="28"/>
          <w:szCs w:val="28"/>
        </w:rPr>
      </w:pPr>
      <w:r>
        <w:rPr>
          <w:rFonts w:ascii="仿宋" w:hAnsi="仿宋" w:eastAsia="仿宋" w:cs="仿宋"/>
          <w:sz w:val="28"/>
          <w:szCs w:val="28"/>
        </w:rPr>
      </w:r>
      <w:r/>
    </w:p>
    <w:p>
      <w:pPr>
        <w:pStyle w:val="723"/>
        <w:ind w:firstLine="259"/>
        <w:rPr>
          <w:rFonts w:ascii="仿宋" w:hAnsi="仿宋" w:eastAsia="仿宋" w:cs="仿宋"/>
          <w:sz w:val="28"/>
          <w:szCs w:val="28"/>
        </w:rPr>
      </w:pPr>
      <w:r>
        <w:rPr>
          <w:rFonts w:ascii="仿宋" w:hAnsi="仿宋" w:eastAsia="仿宋" w:cs="仿宋"/>
          <w:sz w:val="28"/>
          <w:szCs w:val="28"/>
        </w:rPr>
      </w:r>
      <w:r/>
    </w:p>
    <w:p>
      <w:pPr>
        <w:ind w:firstLine="3240"/>
        <w:spacing w:line="360" w:lineRule="auto"/>
        <w:rPr>
          <w:rFonts w:ascii="仿宋" w:hAnsi="仿宋" w:eastAsia="仿宋" w:cs="仿宋"/>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p>
    <w:p>
      <w:pPr>
        <w:ind w:firstLine="324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t xml:space="preserve">（盖电子签章）</w:t>
      </w:r>
      <w:r>
        <w:rPr>
          <w:rFonts w:hint="eastAsia" w:ascii="仿宋" w:hAnsi="仿宋" w:eastAsia="仿宋" w:cs="仿宋"/>
          <w:color w:val="000000"/>
          <w:sz w:val="28"/>
          <w:szCs w:val="28"/>
        </w:rPr>
        <w:t xml:space="preserve">  </w:t>
      </w:r>
      <w:r/>
    </w:p>
    <w:p>
      <w:pPr>
        <w:ind w:firstLine="324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480"/>
        <w:spacing w:line="500" w:lineRule="exact"/>
        <w:tabs>
          <w:tab w:val="left" w:pos="720" w:leader="none"/>
          <w:tab w:val="left" w:pos="900" w:leader="none"/>
        </w:tabs>
        <w:rPr>
          <w:rFonts w:ascii="仿宋" w:hAnsi="仿宋" w:eastAsia="仿宋" w:cs="仿宋"/>
          <w:sz w:val="28"/>
          <w:szCs w:val="28"/>
        </w:rPr>
      </w:pPr>
      <w:r>
        <w:rPr>
          <w:rFonts w:hint="eastAsia" w:ascii="仿宋" w:hAnsi="仿宋" w:eastAsia="仿宋" w:cs="仿宋"/>
          <w:sz w:val="28"/>
          <w:szCs w:val="28"/>
        </w:rPr>
        <w:t xml:space="preserve">(法定代表人身份证</w:t>
      </w:r>
      <w:r>
        <w:rPr>
          <w:rFonts w:hint="eastAsia" w:ascii="仿宋" w:hAnsi="仿宋" w:eastAsia="仿宋" w:cs="仿宋"/>
          <w:bCs/>
          <w:sz w:val="28"/>
          <w:szCs w:val="28"/>
        </w:rPr>
        <w:t xml:space="preserve">原件扫描件</w:t>
      </w:r>
      <w:r>
        <w:rPr>
          <w:rFonts w:hint="eastAsia" w:ascii="仿宋" w:hAnsi="仿宋" w:eastAsia="仿宋" w:cs="仿宋"/>
          <w:sz w:val="28"/>
          <w:szCs w:val="28"/>
        </w:rPr>
        <w:t xml:space="preserve">附后）</w:t>
      </w:r>
      <w:r/>
    </w:p>
    <w:p>
      <w:pPr>
        <w:jc w:val="center"/>
        <w:rPr>
          <w:rFonts w:ascii="仿宋" w:hAnsi="仿宋" w:eastAsia="仿宋" w:cs="仿宋"/>
          <w:color w:val="000000"/>
          <w:sz w:val="24"/>
        </w:rPr>
      </w:pPr>
      <w:r>
        <w:rPr>
          <w:rFonts w:ascii="仿宋" w:hAnsi="仿宋" w:eastAsia="仿宋" w:cs="仿宋"/>
          <w:color w:val="000000"/>
          <w:sz w:val="24"/>
        </w:rPr>
      </w:r>
      <w:r/>
    </w:p>
    <w:p>
      <w:pPr>
        <w:jc w:val="cente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8. 投标人参加政府采购活动前3年内在经营活动中没有重大违法记录的书面声明</w:t>
      </w:r>
      <w:r/>
    </w:p>
    <w:p>
      <w:pPr>
        <w:jc w:val="center"/>
        <w:spacing w:line="360" w:lineRule="auto"/>
        <w:rPr>
          <w:rFonts w:ascii="仿宋" w:hAnsi="仿宋" w:eastAsia="仿宋" w:cs="仿宋"/>
          <w:sz w:val="28"/>
          <w:szCs w:val="28"/>
        </w:rPr>
      </w:pPr>
      <w:r>
        <w:rPr>
          <w:rFonts w:ascii="仿宋" w:hAnsi="仿宋" w:eastAsia="仿宋" w:cs="仿宋"/>
          <w:sz w:val="28"/>
          <w:szCs w:val="28"/>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rPr>
        <w:t xml:space="preserve">             项目 </w:t>
      </w:r>
      <w:r>
        <w:rPr>
          <w:rFonts w:hint="eastAsia" w:ascii="仿宋" w:hAnsi="仿宋" w:eastAsia="仿宋" w:cs="仿宋"/>
          <w:sz w:val="28"/>
          <w:szCs w:val="28"/>
        </w:rPr>
        <w:t xml:space="preserve">）项目（项目编号：</w:t>
      </w:r>
      <w:r>
        <w:rPr>
          <w:rFonts w:hint="eastAsia" w:ascii="仿宋" w:hAnsi="仿宋" w:eastAsia="仿宋" w:cs="仿宋"/>
          <w:bCs/>
          <w:sz w:val="28"/>
          <w:szCs w:val="28"/>
          <w:u w:val="single"/>
        </w:rPr>
        <w:t xml:space="preserve">                   </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ind w:firstLine="3600"/>
        <w:spacing w:line="360" w:lineRule="auto"/>
        <w:rPr>
          <w:rFonts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60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4"/>
        </w:rPr>
      </w:pPr>
      <w:r>
        <w:rPr>
          <w:rFonts w:ascii="仿宋" w:hAnsi="仿宋" w:eastAsia="仿宋" w:cs="仿宋"/>
          <w:sz w:val="24"/>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ind w:firstLine="600"/>
        <w:jc w:val="left"/>
        <w:widowControl/>
        <w:rPr>
          <w:rFonts w:ascii="仿宋" w:hAnsi="仿宋" w:eastAsia="仿宋" w:cs="仿宋"/>
          <w:color w:val="000000"/>
          <w:sz w:val="30"/>
          <w:szCs w:val="30"/>
        </w:rPr>
      </w:pPr>
      <w:r>
        <w:rPr>
          <w:rFonts w:ascii="仿宋" w:hAnsi="仿宋" w:eastAsia="仿宋" w:cs="仿宋"/>
          <w:color w:val="000000"/>
          <w:sz w:val="30"/>
          <w:szCs w:val="30"/>
        </w:rPr>
      </w:r>
      <w:r/>
    </w:p>
    <w:p>
      <w:pPr>
        <w:jc w:val="left"/>
        <w:widowControl/>
        <w:rPr>
          <w:rFonts w:ascii="仿宋" w:hAnsi="仿宋" w:eastAsia="仿宋" w:cs="仿宋"/>
          <w:color w:val="000000"/>
          <w:sz w:val="30"/>
          <w:szCs w:val="30"/>
        </w:rPr>
      </w:pPr>
      <w:r>
        <w:rPr>
          <w:rFonts w:ascii="仿宋" w:hAnsi="仿宋" w:eastAsia="仿宋" w:cs="仿宋"/>
          <w:color w:val="000000"/>
          <w:sz w:val="30"/>
          <w:szCs w:val="30"/>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9. 具备履行合同所必需的设备和专业技术能力的书面声明</w:t>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项目名称：  </w:t>
      </w:r>
      <w:r/>
    </w:p>
    <w:p>
      <w:pPr>
        <w:jc w:val="left"/>
        <w:spacing w:line="360" w:lineRule="auto"/>
        <w:widowControl/>
        <w:rPr>
          <w:rFonts w:ascii="仿宋" w:hAnsi="仿宋" w:eastAsia="仿宋" w:cs="仿宋"/>
          <w:sz w:val="28"/>
          <w:szCs w:val="28"/>
          <w:u w:val="single"/>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480"/>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我单位郑重声明：我单位具备履行合同（项目名称：               </w:t>
      </w:r>
      <w:r>
        <w:rPr>
          <w:rFonts w:hint="eastAsia" w:ascii="仿宋" w:hAnsi="仿宋" w:eastAsia="仿宋" w:cs="仿宋"/>
          <w:sz w:val="28"/>
          <w:szCs w:val="28"/>
          <w:u w:val="single"/>
        </w:rPr>
        <w:t xml:space="preserve">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）所必需的设备和专业技术能力。</w:t>
      </w:r>
      <w:r/>
    </w:p>
    <w:p>
      <w:pPr>
        <w:ind w:firstLine="480"/>
        <w:rPr>
          <w:rFonts w:ascii="仿宋" w:hAnsi="仿宋" w:eastAsia="仿宋" w:cs="仿宋"/>
          <w:sz w:val="28"/>
          <w:szCs w:val="28"/>
        </w:rPr>
      </w:pPr>
      <w:r>
        <w:rPr>
          <w:rFonts w:ascii="仿宋" w:hAnsi="仿宋" w:eastAsia="仿宋" w:cs="仿宋"/>
          <w:sz w:val="28"/>
          <w:szCs w:val="28"/>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12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auto"/>
        <w:rPr>
          <w:rFonts w:ascii="仿宋" w:hAnsi="仿宋" w:eastAsia="仿宋" w:cs="仿宋"/>
          <w:sz w:val="28"/>
          <w:szCs w:val="28"/>
        </w:rPr>
      </w:pPr>
      <w:r>
        <w:rPr>
          <w:rFonts w:ascii="仿宋" w:hAnsi="仿宋" w:eastAsia="仿宋" w:cs="仿宋"/>
          <w:sz w:val="28"/>
          <w:szCs w:val="28"/>
        </w:rPr>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480"/>
        <w:jc w:val="left"/>
        <w:widowControl/>
        <w:rPr>
          <w:rFonts w:ascii="仿宋" w:hAnsi="仿宋" w:eastAsia="仿宋" w:cs="仿宋"/>
          <w:sz w:val="28"/>
          <w:szCs w:val="28"/>
        </w:rPr>
      </w:pPr>
      <w:r>
        <w:rPr>
          <w:rFonts w:ascii="仿宋" w:hAnsi="仿宋" w:eastAsia="仿宋" w:cs="仿宋"/>
          <w:sz w:val="28"/>
          <w:szCs w:val="28"/>
        </w:rPr>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ind w:firstLine="600"/>
        <w:jc w:val="left"/>
        <w:widowControl/>
        <w:rPr>
          <w:rFonts w:ascii="仿宋" w:hAnsi="仿宋" w:eastAsia="仿宋" w:cs="仿宋"/>
          <w:color w:val="000000"/>
          <w:sz w:val="28"/>
          <w:szCs w:val="28"/>
        </w:rPr>
      </w:pPr>
      <w:r>
        <w:rPr>
          <w:rFonts w:ascii="仿宋" w:hAnsi="仿宋" w:eastAsia="仿宋" w:cs="仿宋"/>
          <w:color w:val="000000"/>
          <w:sz w:val="28"/>
          <w:szCs w:val="28"/>
        </w:rPr>
      </w:r>
      <w:r/>
    </w:p>
    <w:p>
      <w:pPr>
        <w:pStyle w:val="697"/>
        <w:ind w:left="1323" w:right="1323"/>
        <w:rPr>
          <w:rFonts w:ascii="仿宋" w:hAnsi="仿宋" w:eastAsia="仿宋" w:cs="仿宋"/>
          <w:color w:val="000000"/>
          <w:sz w:val="28"/>
          <w:szCs w:val="28"/>
        </w:rPr>
      </w:pPr>
      <w:r>
        <w:rPr>
          <w:rFonts w:ascii="仿宋" w:hAnsi="仿宋" w:eastAsia="仿宋" w:cs="仿宋"/>
          <w:color w:val="000000"/>
          <w:sz w:val="28"/>
          <w:szCs w:val="28"/>
        </w:rPr>
      </w:r>
      <w:r/>
    </w:p>
    <w:p>
      <w:pPr>
        <w:pStyle w:val="697"/>
        <w:ind w:left="1323" w:right="1323"/>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hint="eastAsia" w:ascii="仿宋" w:hAnsi="仿宋" w:eastAsia="仿宋" w:cs="仿宋"/>
          <w:color w:val="000000"/>
          <w:sz w:val="28"/>
          <w:szCs w:val="28"/>
        </w:rPr>
        <w:br w:type="page" w:clear="all"/>
      </w:r>
      <w:r/>
    </w:p>
    <w:p>
      <w:pPr>
        <w:jc w:val="center"/>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10.投标人相似业绩一览表</w:t>
      </w:r>
      <w:r/>
    </w:p>
    <w:p>
      <w:pPr>
        <w:pStyle w:val="734"/>
      </w:pPr>
      <w:r/>
      <w:r/>
    </w:p>
    <w:p>
      <w:pPr>
        <w:jc w:val="left"/>
        <w:spacing w:line="360" w:lineRule="auto"/>
        <w:widowControl/>
        <w:rPr>
          <w:rFonts w:ascii="仿宋" w:hAnsi="仿宋" w:eastAsia="仿宋" w:cs="仿宋"/>
          <w:sz w:val="28"/>
          <w:szCs w:val="28"/>
        </w:rPr>
      </w:pPr>
      <w:r>
        <w:rPr>
          <w:rFonts w:hint="eastAsia" w:ascii="仿宋" w:hAnsi="仿宋" w:eastAsia="仿宋" w:cs="仿宋"/>
          <w:sz w:val="28"/>
          <w:szCs w:val="28"/>
        </w:rPr>
        <w:t xml:space="preserve">项目名称：</w:t>
      </w:r>
      <w:r/>
    </w:p>
    <w:p>
      <w:pPr>
        <w:jc w:val="left"/>
        <w:spacing w:line="360" w:lineRule="auto"/>
        <w:widowControl/>
        <w:rPr>
          <w:rFonts w:ascii="仿宋" w:hAnsi="仿宋" w:eastAsia="仿宋" w:cs="仿宋"/>
          <w:sz w:val="28"/>
          <w:szCs w:val="28"/>
          <w:u w:val="single"/>
        </w:rPr>
      </w:pPr>
      <w:r>
        <w:rPr>
          <w:rFonts w:hint="eastAsia" w:ascii="仿宋" w:hAnsi="仿宋" w:eastAsia="仿宋" w:cs="仿宋"/>
          <w:sz w:val="28"/>
          <w:szCs w:val="28"/>
        </w:rPr>
        <w:t xml:space="preserve">项目编号：</w:t>
      </w:r>
      <w:r/>
    </w:p>
    <w:p>
      <w:pPr>
        <w:pStyle w:val="694"/>
        <w:rPr>
          <w:rFonts w:ascii="仿宋" w:hAnsi="仿宋" w:eastAsia="仿宋" w:cs="仿宋"/>
        </w:rPr>
      </w:pPr>
      <w:r>
        <w:rPr>
          <w:rFonts w:ascii="仿宋" w:hAnsi="仿宋" w:eastAsia="仿宋" w:cs="仿宋"/>
        </w:rPr>
      </w:r>
      <w:r/>
    </w:p>
    <w:tbl>
      <w:tblPr>
        <w:tblStyle w:val="725"/>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2285"/>
        <w:gridCol w:w="1454"/>
        <w:gridCol w:w="1384"/>
        <w:gridCol w:w="1062"/>
      </w:tblGrid>
      <w:tr>
        <w:trPr>
          <w:jc w:val="center"/>
          <w:trHeight w:val="1012" w:hRule="exact"/>
        </w:trPr>
        <w:tc>
          <w:tcPr>
            <w:tcW w:w="720"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序号</w:t>
            </w:r>
            <w:r/>
          </w:p>
        </w:tc>
        <w:tc>
          <w:tcPr>
            <w:tcW w:w="1311"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合同签订时间</w:t>
            </w:r>
            <w:r/>
          </w:p>
        </w:tc>
        <w:tc>
          <w:tcPr>
            <w:tcW w:w="1431"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项目名称</w:t>
            </w:r>
            <w:r/>
          </w:p>
        </w:tc>
        <w:tc>
          <w:tcPr>
            <w:tcW w:w="2285"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合同金额（元）</w:t>
            </w:r>
            <w:r/>
          </w:p>
        </w:tc>
        <w:tc>
          <w:tcPr>
            <w:tcW w:w="1454"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甲方名称</w:t>
            </w:r>
            <w:r/>
          </w:p>
        </w:tc>
        <w:tc>
          <w:tcPr>
            <w:tcW w:w="1384"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甲方联系人及电话</w:t>
            </w:r>
            <w:r/>
          </w:p>
        </w:tc>
        <w:tc>
          <w:tcPr>
            <w:tcW w:w="1062" w:type="dxa"/>
            <w:vAlign w:val="center"/>
            <w:textDirection w:val="lrTb"/>
            <w:noWrap w:val="false"/>
          </w:tcPr>
          <w:p>
            <w:pPr>
              <w:jc w:val="center"/>
              <w:rPr>
                <w:rFonts w:ascii="仿宋" w:hAnsi="仿宋" w:eastAsia="仿宋" w:cs="仿宋"/>
                <w:b/>
                <w:bCs/>
                <w:sz w:val="24"/>
              </w:rPr>
            </w:pPr>
            <w:r>
              <w:rPr>
                <w:rFonts w:hint="eastAsia" w:ascii="仿宋" w:hAnsi="仿宋" w:eastAsia="仿宋" w:cs="仿宋"/>
                <w:b/>
                <w:bCs/>
                <w:sz w:val="24"/>
              </w:rPr>
              <w:t xml:space="preserve">备注</w:t>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jc w:val="center"/>
          <w:trHeight w:val="717" w:hRule="exact"/>
        </w:trPr>
        <w:tc>
          <w:tcPr>
            <w:tcW w:w="720"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p>
        </w:tc>
        <w:tc>
          <w:tcPr>
            <w:tcW w:w="131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31"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2285"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45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384"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062"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pStyle w:val="723"/>
        <w:ind w:firstLine="219"/>
        <w:rPr>
          <w:rFonts w:ascii="仿宋" w:hAnsi="仿宋" w:eastAsia="仿宋" w:cs="仿宋"/>
          <w:sz w:val="24"/>
        </w:rPr>
      </w:pPr>
      <w:r>
        <w:rPr>
          <w:rFonts w:ascii="仿宋" w:hAnsi="仿宋" w:eastAsia="仿宋" w:cs="仿宋"/>
          <w:sz w:val="24"/>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注：1.此表仅提供了表格样式，各投标人可参照上述格式自制表格，但应至少包含上述表格内条目。</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2.投标人应如实填写业绩信息，并附相关证明材料复印件。</w:t>
      </w:r>
      <w:r/>
    </w:p>
    <w:p>
      <w:pPr>
        <w:pStyle w:val="724"/>
        <w:ind w:left="378" w:firstLine="518"/>
        <w:rPr>
          <w:rFonts w:ascii="仿宋" w:hAnsi="仿宋" w:eastAsia="仿宋" w:cs="仿宋"/>
          <w:sz w:val="28"/>
          <w:szCs w:val="28"/>
        </w:rPr>
      </w:pPr>
      <w:r>
        <w:rPr>
          <w:rFonts w:ascii="仿宋" w:hAnsi="仿宋" w:eastAsia="仿宋" w:cs="仿宋"/>
          <w:sz w:val="28"/>
          <w:szCs w:val="28"/>
        </w:rPr>
      </w:r>
      <w:r/>
    </w:p>
    <w:p>
      <w:pPr>
        <w:pStyle w:val="724"/>
        <w:ind w:left="378" w:firstLine="518"/>
        <w:rPr>
          <w:rFonts w:ascii="仿宋" w:hAnsi="仿宋" w:eastAsia="仿宋" w:cs="仿宋"/>
          <w:sz w:val="28"/>
          <w:szCs w:val="28"/>
        </w:rPr>
      </w:pPr>
      <w:r>
        <w:rPr>
          <w:rFonts w:ascii="仿宋" w:hAnsi="仿宋" w:eastAsia="仿宋" w:cs="仿宋"/>
          <w:sz w:val="28"/>
          <w:szCs w:val="28"/>
        </w:rPr>
      </w:r>
      <w:r/>
    </w:p>
    <w:p>
      <w:pPr>
        <w:ind w:firstLine="3000"/>
        <w:spacing w:line="300" w:lineRule="auto"/>
        <w:rPr>
          <w:rFonts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（盖电子签章）</w:t>
      </w:r>
      <w:r/>
    </w:p>
    <w:p>
      <w:pPr>
        <w:ind w:firstLine="480"/>
        <w:spacing w:line="300" w:lineRule="auto"/>
        <w:rPr>
          <w:rFonts w:ascii="仿宋" w:hAnsi="仿宋" w:eastAsia="仿宋" w:cs="仿宋"/>
          <w:sz w:val="28"/>
          <w:szCs w:val="28"/>
        </w:rPr>
      </w:pPr>
      <w:r>
        <w:rPr>
          <w:rFonts w:hint="eastAsia" w:ascii="仿宋" w:hAnsi="仿宋" w:eastAsia="仿宋" w:cs="仿宋"/>
          <w:sz w:val="28"/>
          <w:szCs w:val="28"/>
        </w:rPr>
        <w:t xml:space="preserve">                </w:t>
      </w:r>
      <w:r/>
    </w:p>
    <w:p>
      <w:pPr>
        <w:ind w:firstLine="3120"/>
        <w:spacing w:line="360" w:lineRule="auto"/>
        <w:rPr>
          <w:rFonts w:ascii="仿宋" w:hAnsi="仿宋" w:eastAsia="仿宋" w:cs="仿宋"/>
          <w:sz w:val="28"/>
          <w:szCs w:val="28"/>
        </w:rPr>
      </w:pPr>
      <w:r>
        <w:rPr>
          <w:rFonts w:hint="eastAsia" w:ascii="仿宋" w:hAnsi="仿宋" w:eastAsia="仿宋" w:cs="仿宋"/>
          <w:sz w:val="28"/>
          <w:szCs w:val="28"/>
        </w:rPr>
        <w:t xml:space="preserve">日期：   年  月  日</w:t>
      </w:r>
      <w:r/>
    </w:p>
    <w:p>
      <w:pPr>
        <w:rPr>
          <w:rFonts w:ascii="仿宋" w:hAnsi="仿宋" w:eastAsia="仿宋" w:cs="仿宋"/>
          <w:sz w:val="28"/>
          <w:szCs w:val="28"/>
        </w:rPr>
      </w:pPr>
      <w:r>
        <w:rPr>
          <w:rFonts w:hint="eastAsia" w:ascii="仿宋" w:hAnsi="仿宋" w:eastAsia="仿宋" w:cs="仿宋"/>
          <w:sz w:val="28"/>
          <w:szCs w:val="28"/>
        </w:rPr>
        <w:br w:type="page" w:clear="all"/>
      </w:r>
      <w:r/>
    </w:p>
    <w:p>
      <w:pPr>
        <w:ind w:firstLine="360"/>
        <w:jc w:val="center"/>
        <w:spacing w:line="560" w:lineRule="exact"/>
        <w:rPr>
          <w:rFonts w:ascii="宋体" w:hAnsi="宋体" w:cs="宋体"/>
          <w:sz w:val="24"/>
          <w:lang w:val="zh-CN"/>
        </w:rPr>
      </w:pPr>
      <w:r>
        <w:rPr>
          <w:rFonts w:hint="eastAsia" w:ascii="宋体" w:hAnsi="宋体" w:cs="宋体"/>
          <w:bCs/>
          <w:sz w:val="24"/>
        </w:rPr>
        <w:t xml:space="preserve">11.（投</w:t>
      </w:r>
      <w:r>
        <w:rPr>
          <w:rFonts w:hint="eastAsia" w:ascii="宋体" w:hAnsi="宋体" w:cs="宋体"/>
          <w:sz w:val="24"/>
          <w:lang w:val="zh-CN"/>
        </w:rPr>
        <w:t xml:space="preserve">标人）中小企业声明函（格式）：</w:t>
      </w:r>
      <w:r/>
    </w:p>
    <w:p>
      <w:pPr>
        <w:ind w:firstLine="360"/>
        <w:jc w:val="center"/>
        <w:spacing w:line="560" w:lineRule="exact"/>
        <w:rPr>
          <w:rFonts w:ascii="宋体" w:hAnsi="宋体" w:cs="宋体"/>
          <w:sz w:val="24"/>
          <w:lang w:val="zh-CN"/>
        </w:rPr>
      </w:pPr>
      <w:r>
        <w:rPr>
          <w:rFonts w:hint="eastAsia" w:ascii="宋体" w:hAnsi="宋体" w:cs="宋体"/>
          <w:sz w:val="24"/>
          <w:lang w:val="zh-CN"/>
        </w:rPr>
        <w:t xml:space="preserve">中小企业声明函（服务）</w:t>
      </w:r>
      <w:r/>
    </w:p>
    <w:p>
      <w:pPr>
        <w:ind w:firstLine="36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36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36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360"/>
        <w:spacing w:line="560" w:lineRule="exact"/>
        <w:rPr>
          <w:rFonts w:ascii="宋体" w:hAnsi="宋体" w:cs="宋体"/>
          <w:bCs/>
          <w:sz w:val="24"/>
        </w:rPr>
      </w:pPr>
      <w:r>
        <w:rPr>
          <w:rFonts w:hint="eastAsia" w:ascii="宋体" w:hAnsi="宋体" w:cs="宋体"/>
          <w:sz w:val="24"/>
        </w:rPr>
        <w:t xml:space="preserve">……</w:t>
      </w:r>
      <w:r/>
    </w:p>
    <w:p>
      <w:pPr>
        <w:ind w:firstLine="36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360"/>
        <w:spacing w:line="560" w:lineRule="exact"/>
        <w:rPr>
          <w:rFonts w:ascii="宋体" w:hAnsi="宋体" w:cs="宋体"/>
          <w:bCs/>
          <w:sz w:val="24"/>
        </w:rPr>
        <w:outlineLvl w:val="0"/>
      </w:pPr>
      <w:r>
        <w:rPr>
          <w:rFonts w:hint="eastAsia" w:ascii="宋体" w:hAnsi="宋体" w:cs="宋体"/>
          <w:bCs/>
          <w:sz w:val="24"/>
        </w:rPr>
        <w:t xml:space="preserve">日  期：</w:t>
      </w:r>
      <w:r/>
    </w:p>
    <w:p>
      <w:pPr>
        <w:pStyle w:val="701"/>
        <w:spacing w:line="560" w:lineRule="exact"/>
        <w:rPr>
          <w:rFonts w:hAnsi="宋体" w:cs="宋体"/>
        </w:rPr>
      </w:pPr>
      <w:r>
        <w:rPr>
          <w:rFonts w:hAnsi="宋体" w:cs="宋体"/>
        </w:rPr>
      </w:r>
      <w:r/>
    </w:p>
    <w:p>
      <w:pPr>
        <w:ind w:firstLine="360"/>
        <w:spacing w:line="560" w:lineRule="exact"/>
        <w:rPr>
          <w:rFonts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701"/>
        <w:ind w:firstLine="360"/>
        <w:spacing w:line="560" w:lineRule="exact"/>
        <w:rPr>
          <w:rFonts w:hAnsi="宋体" w:cs="宋体"/>
          <w:bCs/>
          <w:sz w:val="24"/>
        </w:rPr>
      </w:pPr>
      <w:r>
        <w:rPr>
          <w:rFonts w:hint="eastAsia" w:hAnsi="宋体" w:cs="宋体"/>
          <w:bCs/>
          <w:sz w:val="24"/>
        </w:rPr>
        <w:t xml:space="preserve">备注2：</w:t>
      </w:r>
      <w:r>
        <w:rPr>
          <w:rFonts w:hint="eastAsia" w:hAnsi="宋体" w:cs="宋体"/>
          <w:sz w:val="24"/>
          <w:szCs w:val="24"/>
        </w:rPr>
        <w:t xml:space="preserve">投标人</w:t>
      </w:r>
      <w:r>
        <w:rPr>
          <w:rFonts w:hint="eastAsia" w:hAnsi="宋体" w:cs="宋体"/>
          <w:bCs/>
          <w:sz w:val="24"/>
        </w:rPr>
        <w:t xml:space="preserve">如不提供此声明函，价格将不做相应扣除。</w:t>
      </w:r>
      <w:r/>
    </w:p>
    <w:p>
      <w:pPr>
        <w:pStyle w:val="701"/>
        <w:ind w:firstLine="360"/>
        <w:spacing w:line="560" w:lineRule="exact"/>
        <w:rPr>
          <w:rFonts w:hAnsi="宋体" w:cs="宋体"/>
          <w:bCs/>
          <w:sz w:val="24"/>
          <w:szCs w:val="24"/>
        </w:rPr>
      </w:pPr>
      <w:r>
        <w:rPr>
          <w:rFonts w:hint="eastAsia" w:hAnsi="宋体" w:cs="宋体"/>
          <w:bCs/>
          <w:sz w:val="24"/>
          <w:szCs w:val="24"/>
        </w:rPr>
        <w:t xml:space="preserve">备注3：小型、微型企业提供中型企业的服务的，视同为中型企业。若</w:t>
      </w:r>
      <w:r>
        <w:rPr>
          <w:rFonts w:hint="eastAsia" w:hAnsi="宋体" w:cs="宋体"/>
          <w:sz w:val="24"/>
          <w:szCs w:val="24"/>
        </w:rPr>
        <w:t xml:space="preserve">投标人</w:t>
      </w:r>
      <w:r>
        <w:rPr>
          <w:rFonts w:hint="eastAsia" w:hAnsi="宋体" w:cs="宋体"/>
          <w:bCs/>
          <w:sz w:val="24"/>
          <w:szCs w:val="24"/>
        </w:rPr>
        <w:t xml:space="preserve">提供的《中小企业声明函》为虚假声明则视同提供虚假材料，按《中华人民共和国政府采购法》相关规定处理并报请政府监督部门给予行政处罚。</w:t>
      </w:r>
      <w:r/>
    </w:p>
    <w:p>
      <w:pPr>
        <w:ind w:firstLine="360"/>
        <w:spacing w:line="560" w:lineRule="exact"/>
        <w:rPr>
          <w:rFonts w:ascii="宋体" w:hAnsi="宋体" w:cs="宋体"/>
          <w:bCs/>
          <w:sz w:val="24"/>
        </w:rPr>
      </w:pPr>
      <w:r>
        <w:rPr>
          <w:rFonts w:hint="eastAsia" w:ascii="宋体" w:hAnsi="宋体" w:cs="宋体"/>
          <w:bCs/>
          <w:sz w:val="24"/>
        </w:rPr>
        <w:t xml:space="preserve">备注4：以上企业，不属于大型企业的分支机构，不存在控股股东为大企业的情形，也不存在与大企业的负责人为同一人的情形。</w:t>
      </w:r>
      <w:r/>
    </w:p>
    <w:p>
      <w:pPr>
        <w:ind w:firstLine="360"/>
        <w:spacing w:line="560" w:lineRule="exact"/>
        <w:rPr>
          <w:rFonts w:ascii="宋体" w:hAnsi="宋体" w:cs="宋体"/>
          <w:bCs/>
          <w:sz w:val="24"/>
          <w:lang w:val="zh-CN"/>
        </w:rPr>
      </w:pPr>
      <w:r>
        <w:rPr>
          <w:rFonts w:hint="eastAsia" w:ascii="宋体" w:hAnsi="宋体" w:cs="宋体"/>
          <w:bCs/>
          <w:sz w:val="24"/>
        </w:rPr>
        <w:t xml:space="preserve">备注5：</w:t>
      </w:r>
      <w:r>
        <w:rPr>
          <w:rFonts w:hint="eastAsia" w:ascii="宋体" w:hAnsi="宋体" w:cs="宋体"/>
          <w:bCs/>
          <w:sz w:val="24"/>
          <w:lang w:val="zh-CN"/>
        </w:rPr>
        <w:t xml:space="preserve">本</w:t>
      </w:r>
      <w:r>
        <w:rPr>
          <w:rFonts w:hint="eastAsia" w:ascii="宋体" w:hAnsi="宋体" w:cs="宋体"/>
          <w:bCs/>
          <w:sz w:val="24"/>
        </w:rPr>
        <w:t xml:space="preserve">企业</w:t>
      </w:r>
      <w:r>
        <w:rPr>
          <w:rFonts w:hint="eastAsia" w:ascii="宋体" w:hAnsi="宋体" w:cs="宋体"/>
          <w:bCs/>
          <w:sz w:val="24"/>
          <w:lang w:val="zh-CN"/>
        </w:rPr>
        <w:t xml:space="preserve">对上述声明</w:t>
      </w:r>
      <w:r>
        <w:rPr>
          <w:rFonts w:hint="eastAsia" w:ascii="宋体" w:hAnsi="宋体" w:cs="宋体"/>
          <w:bCs/>
          <w:sz w:val="24"/>
        </w:rPr>
        <w:t xml:space="preserve">内容</w:t>
      </w:r>
      <w:r>
        <w:rPr>
          <w:rFonts w:hint="eastAsia" w:ascii="宋体" w:hAnsi="宋体" w:cs="宋体"/>
          <w:bCs/>
          <w:sz w:val="24"/>
          <w:lang w:val="zh-CN"/>
        </w:rPr>
        <w:t xml:space="preserve">的真实性负责。如有虚假，将依法承担相应责任。</w:t>
      </w:r>
      <w:r/>
    </w:p>
    <w:p>
      <w:pPr>
        <w:jc w:val="center"/>
        <w:spacing w:line="560" w:lineRule="exact"/>
        <w:rPr>
          <w:rFonts w:ascii="宋体" w:hAnsi="宋体" w:cs="宋体"/>
          <w:bCs/>
          <w:sz w:val="24"/>
        </w:rPr>
        <w:outlineLvl w:val="0"/>
      </w:pPr>
      <w:r>
        <w:rPr>
          <w:rFonts w:hint="eastAsia" w:ascii="宋体" w:hAnsi="宋体" w:cs="宋体"/>
        </w:rPr>
        <w:br w:type="page" w:clear="all"/>
      </w:r>
      <w:r>
        <w:rPr>
          <w:rFonts w:hint="eastAsia" w:ascii="宋体" w:hAnsi="宋体" w:cs="宋体"/>
          <w:bCs/>
          <w:sz w:val="24"/>
        </w:rPr>
        <w:t xml:space="preserve">12.（投标人）残疾人福利性单位声明函（格式）</w:t>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残疾人福利性单位声明函</w:t>
      </w:r>
      <w:r/>
    </w:p>
    <w:p>
      <w:pPr>
        <w:ind w:firstLine="560"/>
        <w:jc w:val="center"/>
        <w:spacing w:line="560" w:lineRule="exact"/>
        <w:rPr>
          <w:rFonts w:ascii="宋体" w:hAnsi="宋体" w:cs="宋体"/>
          <w:bCs/>
          <w:sz w:val="28"/>
          <w:szCs w:val="28"/>
        </w:rPr>
      </w:pPr>
      <w:r>
        <w:rPr>
          <w:rFonts w:ascii="宋体" w:hAnsi="宋体" w:cs="宋体"/>
          <w:bCs/>
          <w:sz w:val="28"/>
          <w:szCs w:val="28"/>
        </w:rPr>
      </w:r>
      <w:r/>
    </w:p>
    <w:p>
      <w:pPr>
        <w:ind w:firstLine="480"/>
        <w:spacing w:line="560" w:lineRule="exact"/>
        <w:rPr>
          <w:rFonts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6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rPr>
        <w:t xml:space="preserve">（备注：1、投标人如不提供此声明函，价格将不做相应扣除。2、中标单位为残疾人福利单位的，此声明函将随中标结果同时公告，接受社会监督）</w:t>
      </w:r>
      <w:r/>
    </w:p>
    <w:p>
      <w:pPr>
        <w:ind w:firstLine="624"/>
        <w:spacing w:line="560"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60"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rPr>
        <w:t xml:space="preserve">          投标人全称（加盖CA电子公章）：</w:t>
      </w:r>
      <w:r/>
    </w:p>
    <w:p>
      <w:pPr>
        <w:ind w:right="1560" w:firstLine="480"/>
        <w:jc w:val="center"/>
        <w:spacing w:line="560" w:lineRule="exact"/>
        <w:tabs>
          <w:tab w:val="left" w:pos="4860" w:leader="none"/>
        </w:tabs>
        <w:rPr>
          <w:rFonts w:ascii="宋体" w:hAnsi="宋体" w:cs="宋体"/>
          <w:sz w:val="24"/>
        </w:rPr>
      </w:pPr>
      <w:r>
        <w:rPr>
          <w:rFonts w:hint="eastAsia" w:ascii="宋体" w:hAnsi="宋体" w:cs="宋体"/>
          <w:sz w:val="24"/>
        </w:rPr>
        <w:t xml:space="preserve">        日  期：</w:t>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ind w:firstLine="360"/>
        <w:spacing w:line="560" w:lineRule="exact"/>
        <w:rPr>
          <w:rFonts w:ascii="宋体" w:hAnsi="宋体" w:cs="宋体"/>
          <w:bCs/>
          <w:sz w:val="24"/>
        </w:rPr>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ind w:firstLine="360"/>
        <w:spacing w:line="560" w:lineRule="exact"/>
        <w:rPr>
          <w:rFonts w:ascii="宋体" w:hAnsi="宋体" w:cs="宋体"/>
          <w:bCs/>
          <w:sz w:val="24"/>
        </w:rPr>
      </w:pPr>
      <w:r>
        <w:rPr>
          <w:rFonts w:ascii="宋体" w:hAnsi="宋体" w:cs="宋体"/>
          <w:bCs/>
          <w:sz w:val="24"/>
        </w:rPr>
      </w:r>
      <w:r/>
    </w:p>
    <w:p>
      <w:pPr>
        <w:pStyle w:val="677"/>
        <w:ind w:firstLine="361"/>
        <w:spacing w:before="0" w:after="0" w:line="560" w:lineRule="exact"/>
        <w:rPr>
          <w:rFonts w:ascii="宋体" w:hAnsi="宋体" w:cs="宋体"/>
          <w:sz w:val="24"/>
        </w:rPr>
      </w:pPr>
      <w:r>
        <w:rPr>
          <w:rFonts w:ascii="宋体" w:hAnsi="宋体" w:cs="宋体"/>
          <w:sz w:val="24"/>
        </w:rPr>
      </w:r>
      <w:r/>
    </w:p>
    <w:p>
      <w:pPr>
        <w:spacing w:line="560" w:lineRule="exact"/>
        <w:rPr>
          <w:rFonts w:ascii="宋体" w:hAnsi="宋体" w:cs="宋体"/>
        </w:rPr>
      </w:pPr>
      <w:r>
        <w:rPr>
          <w:rFonts w:ascii="宋体" w:hAnsi="宋体" w:cs="宋体"/>
        </w:rPr>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ind w:firstLine="360"/>
        <w:jc w:val="center"/>
        <w:spacing w:line="560" w:lineRule="exact"/>
        <w:rPr>
          <w:rFonts w:ascii="宋体" w:hAnsi="宋体" w:cs="宋体"/>
          <w:bCs/>
          <w:sz w:val="24"/>
        </w:rPr>
        <w:outlineLvl w:val="0"/>
      </w:pPr>
      <w:r>
        <w:rPr>
          <w:rFonts w:hint="eastAsia" w:ascii="宋体" w:hAnsi="宋体" w:cs="宋体"/>
          <w:bCs/>
          <w:sz w:val="24"/>
        </w:rPr>
        <w:t xml:space="preserve">13.（投标人）监狱企业证明材料（格式）</w:t>
      </w:r>
      <w:r/>
    </w:p>
    <w:p>
      <w:pPr>
        <w:ind w:firstLine="482"/>
        <w:jc w:val="center"/>
        <w:spacing w:line="560" w:lineRule="exact"/>
        <w:rPr>
          <w:rFonts w:ascii="宋体" w:hAnsi="宋体" w:cs="宋体"/>
          <w:b/>
          <w:sz w:val="32"/>
          <w:szCs w:val="32"/>
        </w:rPr>
      </w:pPr>
      <w:r>
        <w:rPr>
          <w:rFonts w:ascii="宋体" w:hAnsi="宋体" w:cs="宋体"/>
          <w:b/>
          <w:sz w:val="32"/>
          <w:szCs w:val="32"/>
        </w:rPr>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监狱企业证明材料</w:t>
      </w:r>
      <w:r/>
    </w:p>
    <w:p>
      <w:pPr>
        <w:ind w:firstLine="480"/>
        <w:spacing w:line="560" w:lineRule="exact"/>
        <w:rPr>
          <w:rFonts w:ascii="宋体" w:hAnsi="宋体" w:cs="宋体"/>
          <w:bCs/>
          <w:sz w:val="24"/>
        </w:rPr>
      </w:pPr>
      <w:r>
        <w:rPr>
          <w:rFonts w:hint="eastAsia" w:ascii="宋体" w:hAnsi="宋体" w:cs="宋体"/>
          <w:bCs/>
          <w:sz w:val="24"/>
        </w:rPr>
        <w:t xml:space="preserve">参加政府采购活动的监狱企业应当提供省级以上监狱管理局、戒毒管理局（含新疆生产建设兵团）出具的属于监狱企业的证明文件复印件加盖申请人公章。</w:t>
      </w:r>
      <w:r/>
    </w:p>
    <w:p>
      <w:pPr>
        <w:rPr>
          <w:rFonts w:ascii="宋体" w:hAnsi="宋体" w:cs="宋体"/>
          <w:bCs/>
          <w:sz w:val="24"/>
        </w:rPr>
      </w:pPr>
      <w:r>
        <w:rPr>
          <w:rFonts w:hint="eastAsia" w:ascii="宋体" w:hAnsi="宋体" w:cs="宋体"/>
          <w:bCs/>
          <w:sz w:val="24"/>
        </w:rPr>
        <w:br w:type="page" w:clear="all"/>
      </w:r>
      <w:r/>
    </w:p>
    <w:p>
      <w:pPr>
        <w:jc w:val="center"/>
        <w:spacing w:line="560" w:lineRule="exact"/>
        <w:rPr>
          <w:rFonts w:ascii="宋体" w:hAnsi="宋体" w:cs="宋体"/>
          <w:bCs/>
          <w:sz w:val="28"/>
          <w:szCs w:val="28"/>
        </w:rPr>
        <w:outlineLvl w:val="0"/>
      </w:pPr>
      <w:r>
        <w:rPr>
          <w:rFonts w:hint="eastAsia" w:ascii="宋体" w:hAnsi="宋体" w:cs="宋体"/>
          <w:bCs/>
          <w:sz w:val="24"/>
        </w:rPr>
        <w:t xml:space="preserve">14.联合体协议书（格式）</w:t>
      </w:r>
      <w:r/>
    </w:p>
    <w:p>
      <w:pPr>
        <w:ind w:firstLine="420"/>
        <w:jc w:val="center"/>
        <w:spacing w:line="560" w:lineRule="exact"/>
        <w:rPr>
          <w:rFonts w:ascii="宋体" w:hAnsi="宋体" w:cs="宋体"/>
          <w:bCs/>
          <w:sz w:val="28"/>
          <w:szCs w:val="28"/>
        </w:rPr>
        <w:outlineLvl w:val="0"/>
      </w:pPr>
      <w:r>
        <w:rPr>
          <w:rFonts w:hint="eastAsia" w:ascii="宋体" w:hAnsi="宋体" w:cs="宋体"/>
          <w:bCs/>
          <w:sz w:val="28"/>
          <w:szCs w:val="28"/>
        </w:rPr>
        <w:t xml:space="preserve">联合体协议书（如有）</w:t>
      </w:r>
      <w:r/>
    </w:p>
    <w:p>
      <w:pPr>
        <w:spacing w:line="400" w:lineRule="exact"/>
        <w:rPr>
          <w:rFonts w:ascii="宋体" w:hAnsi="宋体" w:cs="宋体"/>
          <w:szCs w:val="21"/>
        </w:rPr>
      </w:pPr>
      <w:r>
        <w:rPr>
          <w:rFonts w:hint="eastAsia" w:ascii="宋体" w:hAnsi="宋体" w:cs="宋体"/>
          <w:szCs w:val="21"/>
        </w:rPr>
        <w:t xml:space="preserve">牵头人名称：</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法定住所：</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成员二名称：</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p>
    <w:p>
      <w:pPr>
        <w:spacing w:line="400" w:lineRule="exact"/>
        <w:rPr>
          <w:rFonts w:ascii="宋体" w:hAnsi="宋体" w:cs="宋体"/>
          <w:szCs w:val="21"/>
        </w:rPr>
      </w:pPr>
      <w:r>
        <w:rPr>
          <w:rFonts w:hint="eastAsia" w:ascii="宋体" w:hAnsi="宋体" w:cs="宋体"/>
          <w:szCs w:val="21"/>
        </w:rPr>
        <w:t xml:space="preserve">法定住所：</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鉴于上述各成员单位经过友好协商，自愿组成</w:t>
      </w:r>
      <w:r>
        <w:rPr>
          <w:rFonts w:hint="eastAsia" w:ascii="宋体" w:hAnsi="宋体" w:cs="宋体"/>
          <w:szCs w:val="21"/>
          <w:u w:val="single"/>
        </w:rPr>
        <w:t xml:space="preserve">      </w:t>
      </w:r>
      <w:r>
        <w:rPr>
          <w:rFonts w:hint="eastAsia" w:ascii="宋体" w:hAnsi="宋体" w:cs="宋体"/>
          <w:szCs w:val="21"/>
        </w:rPr>
        <w:t xml:space="preserve">(联合体名称)联合体，共同参加</w:t>
      </w:r>
      <w:r/>
    </w:p>
    <w:p>
      <w:pPr>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(采购人名称)(以下简称采购人)</w:t>
      </w:r>
      <w:r>
        <w:rPr>
          <w:rFonts w:hint="eastAsia" w:ascii="宋体" w:hAnsi="宋体" w:cs="宋体"/>
          <w:szCs w:val="21"/>
          <w:u w:val="single"/>
        </w:rPr>
        <w:t xml:space="preserve">        </w:t>
      </w:r>
      <w:r>
        <w:rPr>
          <w:rFonts w:hint="eastAsia" w:ascii="宋体" w:hAnsi="宋体" w:cs="宋体"/>
          <w:szCs w:val="21"/>
        </w:rPr>
        <w:t xml:space="preserve">(项目名称)(以下简称本项目)的投标并争取赢得本项目承包合同(以下简称合同)。现就联合体投标事宜订立如下协议：</w:t>
      </w:r>
      <w:r/>
    </w:p>
    <w:p>
      <w:pPr>
        <w:ind w:firstLine="420"/>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             </w:t>
      </w:r>
      <w:r>
        <w:rPr>
          <w:rFonts w:hint="eastAsia" w:ascii="宋体" w:hAnsi="宋体" w:cs="宋体"/>
          <w:szCs w:val="21"/>
        </w:rPr>
        <w:t xml:space="preserve">(某成员单位名称)为</w:t>
      </w:r>
      <w:r>
        <w:rPr>
          <w:rFonts w:hint="eastAsia" w:ascii="宋体" w:hAnsi="宋体" w:cs="宋体"/>
          <w:szCs w:val="21"/>
          <w:u w:val="single"/>
        </w:rPr>
        <w:t xml:space="preserve">             </w:t>
      </w:r>
      <w:r>
        <w:rPr>
          <w:rFonts w:hint="eastAsia" w:ascii="宋体" w:hAnsi="宋体" w:cs="宋体"/>
          <w:szCs w:val="21"/>
        </w:rPr>
        <w:t xml:space="preserve">(联合体名称)牵头人。</w:t>
      </w:r>
      <w:r/>
    </w:p>
    <w:p>
      <w:pPr>
        <w:ind w:firstLine="420"/>
        <w:spacing w:line="400" w:lineRule="exact"/>
        <w:rPr>
          <w:rFonts w:ascii="宋体" w:hAnsi="宋体" w:cs="宋体"/>
          <w:szCs w:val="21"/>
        </w:rPr>
      </w:pPr>
      <w:r>
        <w:rPr>
          <w:rFonts w:hint="eastAsia" w:ascii="宋体" w:hAnsi="宋体" w:cs="宋体"/>
          <w:szCs w:val="21"/>
        </w:rPr>
        <w:t xml:space="preserve">2. 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ind w:firstLine="420"/>
        <w:spacing w:line="400" w:lineRule="exact"/>
        <w:rPr>
          <w:rFonts w:ascii="宋体" w:hAnsi="宋体" w:cs="宋体"/>
          <w:szCs w:val="21"/>
        </w:rPr>
      </w:pPr>
      <w:r>
        <w:rPr>
          <w:rFonts w:hint="eastAsia" w:ascii="宋体" w:hAnsi="宋体" w:cs="宋体"/>
          <w:szCs w:val="21"/>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420"/>
        <w:spacing w:line="400" w:lineRule="exact"/>
        <w:rPr>
          <w:rFonts w:ascii="宋体" w:hAnsi="宋体" w:cs="宋体"/>
          <w:szCs w:val="21"/>
          <w:u w:val="single"/>
        </w:rPr>
      </w:pPr>
      <w:r>
        <w:rPr>
          <w:rFonts w:hint="eastAsia" w:ascii="宋体" w:hAnsi="宋体" w:cs="宋体"/>
          <w:szCs w:val="21"/>
        </w:rPr>
        <w:t xml:space="preserve">4. 联合体各成员单位内部的职责分工如下：</w:t>
      </w:r>
      <w:r>
        <w:rPr>
          <w:rFonts w:hint="eastAsia" w:ascii="宋体" w:hAnsi="宋体" w:cs="宋体"/>
          <w:szCs w:val="21"/>
          <w:u w:val="single"/>
        </w:rPr>
        <w:t xml:space="preserve">                                    </w:t>
      </w:r>
      <w:r>
        <w:rPr>
          <w:rFonts w:hint="eastAsia" w:ascii="宋体" w:hAnsi="宋体" w:cs="宋体"/>
          <w:szCs w:val="21"/>
        </w:rPr>
        <w:t xml:space="preserve">。</w:t>
      </w:r>
      <w:r/>
    </w:p>
    <w:p>
      <w:pPr>
        <w:spacing w:line="400" w:lineRule="exact"/>
        <w:rPr>
          <w:rFonts w:ascii="宋体" w:hAnsi="宋体" w:cs="宋体"/>
          <w:szCs w:val="21"/>
        </w:rPr>
      </w:pPr>
      <w:r>
        <w:rPr>
          <w:rFonts w:hint="eastAsia" w:ascii="宋体" w:hAnsi="宋体" w:cs="宋体"/>
          <w:szCs w:val="21"/>
        </w:rPr>
        <w:t xml:space="preserve">按照本条上述分工，联合体成员单位各自所承担的合同工作量比例如下：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rPr>
        <w:t xml:space="preserve">5 投标工作和联合体在中标后项目实施过程中的有关费用按各自承担的工作量分摊。</w:t>
      </w:r>
      <w:r/>
    </w:p>
    <w:p>
      <w:pPr>
        <w:ind w:firstLine="420"/>
        <w:spacing w:line="400" w:lineRule="exact"/>
        <w:rPr>
          <w:rFonts w:ascii="宋体" w:hAnsi="宋体" w:cs="宋体"/>
          <w:szCs w:val="21"/>
        </w:rPr>
      </w:pPr>
      <w:r>
        <w:rPr>
          <w:rFonts w:hint="eastAsia" w:ascii="宋体" w:hAnsi="宋体" w:cs="宋体"/>
          <w:szCs w:val="21"/>
        </w:rPr>
        <w:t xml:space="preserve">6.联合体中标后，本联合体协议是合同的附件，对联合体各成员单位有合同约束力。</w:t>
      </w:r>
      <w:r/>
    </w:p>
    <w:p>
      <w:pPr>
        <w:ind w:firstLine="420"/>
        <w:spacing w:line="400" w:lineRule="exact"/>
        <w:rPr>
          <w:rFonts w:ascii="宋体" w:hAnsi="宋体" w:cs="宋体"/>
          <w:szCs w:val="21"/>
        </w:rPr>
      </w:pPr>
      <w:r>
        <w:rPr>
          <w:rFonts w:hint="eastAsia" w:ascii="宋体" w:hAnsi="宋体" w:cs="宋体"/>
          <w:szCs w:val="21"/>
        </w:rPr>
        <w:t xml:space="preserve">7.本协议书自签署之日起生效，联合体未中标或者中标时合同履行完毕后自动失效。</w:t>
      </w:r>
      <w:r/>
    </w:p>
    <w:p>
      <w:pPr>
        <w:ind w:firstLine="420"/>
        <w:spacing w:line="400" w:lineRule="exact"/>
        <w:rPr>
          <w:rFonts w:ascii="宋体" w:hAnsi="宋体" w:cs="宋体"/>
          <w:szCs w:val="21"/>
        </w:rPr>
      </w:pPr>
      <w:r>
        <w:rPr>
          <w:rFonts w:hint="eastAsia" w:ascii="宋体" w:hAnsi="宋体" w:cs="宋体"/>
          <w:szCs w:val="21"/>
        </w:rPr>
        <w:t xml:space="preserve">8.本协议书一式</w:t>
      </w:r>
      <w:r>
        <w:rPr>
          <w:rFonts w:hint="eastAsia" w:ascii="宋体" w:hAnsi="宋体" w:cs="宋体"/>
          <w:szCs w:val="21"/>
          <w:u w:val="single"/>
        </w:rPr>
        <w:t xml:space="preserve">           </w:t>
      </w:r>
      <w:r>
        <w:rPr>
          <w:rFonts w:hint="eastAsia" w:ascii="宋体" w:hAnsi="宋体" w:cs="宋体"/>
          <w:szCs w:val="21"/>
        </w:rPr>
        <w:t xml:space="preserve">份，联合体成员和采购人各执一份。</w:t>
      </w:r>
      <w:r/>
    </w:p>
    <w:p>
      <w:pPr>
        <w:spacing w:line="400" w:lineRule="exact"/>
        <w:rPr>
          <w:rFonts w:ascii="宋体" w:hAnsi="宋体" w:cs="宋体"/>
          <w:szCs w:val="21"/>
        </w:rPr>
      </w:pPr>
      <w:r>
        <w:rPr>
          <w:rFonts w:ascii="宋体" w:hAnsi="宋体" w:cs="宋体"/>
          <w:szCs w:val="21"/>
        </w:rPr>
      </w:r>
      <w:r/>
    </w:p>
    <w:p>
      <w:pPr>
        <w:ind w:firstLine="1995"/>
        <w:spacing w:line="400" w:lineRule="exact"/>
        <w:rPr>
          <w:rFonts w:ascii="宋体" w:hAnsi="宋体" w:cs="宋体"/>
          <w:szCs w:val="21"/>
        </w:rPr>
      </w:pPr>
      <w:r>
        <w:rPr>
          <w:rFonts w:hint="eastAsia" w:ascii="宋体" w:hAnsi="宋体" w:cs="宋体"/>
          <w:szCs w:val="21"/>
        </w:rPr>
        <w:t xml:space="preserve">牵头人名称：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1995"/>
        <w:spacing w:line="4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400" w:lineRule="exact"/>
        <w:rPr>
          <w:rFonts w:ascii="宋体" w:hAnsi="宋体" w:cs="宋体"/>
          <w:szCs w:val="21"/>
        </w:rPr>
      </w:pPr>
      <w:r>
        <w:rPr>
          <w:rFonts w:ascii="宋体" w:hAnsi="宋体" w:cs="宋体"/>
          <w:szCs w:val="21"/>
        </w:rPr>
      </w:r>
      <w:r/>
    </w:p>
    <w:p>
      <w:pPr>
        <w:ind w:firstLine="1995"/>
        <w:spacing w:line="400" w:lineRule="exact"/>
        <w:rPr>
          <w:rFonts w:ascii="宋体" w:hAnsi="宋体" w:cs="宋体"/>
          <w:szCs w:val="21"/>
        </w:rPr>
      </w:pPr>
      <w:r>
        <w:rPr>
          <w:rFonts w:hint="eastAsia" w:ascii="宋体" w:hAnsi="宋体" w:cs="宋体"/>
          <w:szCs w:val="21"/>
        </w:rPr>
        <w:t xml:space="preserve">成员二名称：</w:t>
      </w:r>
      <w:r>
        <w:rPr>
          <w:rFonts w:hint="eastAsia" w:ascii="宋体" w:hAnsi="宋体" w:cs="宋体"/>
          <w:szCs w:val="21"/>
          <w:u w:val="single"/>
        </w:rPr>
        <w:t xml:space="preserve">                                 </w:t>
      </w:r>
      <w:r>
        <w:rPr>
          <w:rFonts w:hint="eastAsia" w:ascii="宋体" w:hAnsi="宋体" w:cs="宋体"/>
          <w:szCs w:val="21"/>
        </w:rPr>
        <w:t xml:space="preserve">(盖单位章)</w:t>
      </w:r>
      <w:r/>
    </w:p>
    <w:p>
      <w:pPr>
        <w:ind w:firstLine="1995"/>
        <w:spacing w:line="4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ind w:firstLine="2310"/>
        <w:spacing w:line="400" w:lineRule="exact"/>
        <w:rPr>
          <w:rFonts w:ascii="宋体" w:hAnsi="宋体" w:cs="宋体"/>
          <w:szCs w:val="21"/>
        </w:rPr>
      </w:pPr>
      <w:r>
        <w:rPr>
          <w:rFonts w:hint="eastAsia" w:ascii="宋体" w:hAnsi="宋体" w:cs="宋体"/>
          <w:szCs w:val="21"/>
        </w:rPr>
        <w:t xml:space="preserve">…… </w:t>
      </w:r>
      <w:r/>
    </w:p>
    <w:p>
      <w:pPr>
        <w:pStyle w:val="690"/>
        <w:jc w:val="right"/>
        <w:spacing w:line="400" w:lineRule="exact"/>
        <w:rPr>
          <w:rFonts w:ascii="宋体" w:hAnsi="宋体" w:cs="宋体"/>
          <w:sz w:val="21"/>
          <w:szCs w:val="20"/>
        </w:rPr>
      </w:pPr>
      <w:r>
        <w:rPr>
          <w:rFonts w:hint="eastAsia" w:ascii="宋体" w:hAnsi="宋体" w:cs="宋体"/>
          <w:sz w:val="21"/>
          <w:szCs w:val="20"/>
          <w:u w:val="single"/>
        </w:rPr>
        <w:t xml:space="preserve">        </w:t>
      </w:r>
      <w:r>
        <w:rPr>
          <w:rFonts w:hint="eastAsia" w:ascii="宋体" w:hAnsi="宋体" w:cs="宋体"/>
          <w:sz w:val="21"/>
          <w:szCs w:val="20"/>
        </w:rPr>
        <w:t xml:space="preserve">年</w:t>
      </w:r>
      <w:r>
        <w:rPr>
          <w:rFonts w:hint="eastAsia" w:ascii="宋体" w:hAnsi="宋体" w:cs="宋体"/>
          <w:sz w:val="21"/>
          <w:szCs w:val="20"/>
          <w:u w:val="single"/>
        </w:rPr>
        <w:t xml:space="preserve">       </w:t>
      </w:r>
      <w:r>
        <w:rPr>
          <w:rFonts w:hint="eastAsia" w:ascii="宋体" w:hAnsi="宋体" w:cs="宋体"/>
          <w:sz w:val="21"/>
          <w:szCs w:val="20"/>
        </w:rPr>
        <w:t xml:space="preserve">月</w:t>
      </w:r>
      <w:r>
        <w:rPr>
          <w:rFonts w:hint="eastAsia" w:ascii="宋体" w:hAnsi="宋体" w:cs="宋体"/>
          <w:sz w:val="21"/>
          <w:szCs w:val="20"/>
          <w:u w:val="single"/>
        </w:rPr>
        <w:t xml:space="preserve">       </w:t>
      </w:r>
      <w:r>
        <w:rPr>
          <w:rFonts w:hint="eastAsia" w:ascii="宋体" w:hAnsi="宋体" w:cs="宋体"/>
          <w:sz w:val="21"/>
          <w:szCs w:val="20"/>
        </w:rPr>
        <w:t xml:space="preserve">日</w:t>
      </w:r>
      <w:r/>
    </w:p>
    <w:p>
      <w:pPr>
        <w:rPr>
          <w:rFonts w:ascii="宋体" w:hAnsi="宋体" w:cs="宋体"/>
          <w:szCs w:val="20"/>
        </w:rPr>
      </w:pPr>
      <w:r>
        <w:rPr>
          <w:rFonts w:hint="eastAsia" w:ascii="宋体" w:hAnsi="宋体" w:cs="宋体"/>
          <w:szCs w:val="20"/>
        </w:rPr>
        <w:br w:type="page" w:clear="all"/>
      </w:r>
      <w:r/>
    </w:p>
    <w:p>
      <w:pPr>
        <w:pStyle w:val="690"/>
        <w:jc w:val="right"/>
        <w:spacing w:line="400" w:lineRule="exact"/>
        <w:rPr>
          <w:rFonts w:ascii="宋体" w:hAnsi="宋体" w:cs="宋体"/>
          <w:sz w:val="21"/>
          <w:szCs w:val="20"/>
        </w:rPr>
      </w:pPr>
      <w:r>
        <w:rPr>
          <w:rFonts w:ascii="宋体" w:hAnsi="宋体" w:cs="宋体"/>
          <w:sz w:val="21"/>
          <w:szCs w:val="20"/>
        </w:rPr>
      </w:r>
      <w:r/>
    </w:p>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15.其他投标单位认为有必要提交的材料（若有）</w:t>
      </w:r>
      <w:r/>
    </w:p>
    <w:p>
      <w:pPr>
        <w:pStyle w:val="733"/>
      </w:pPr>
      <w:r/>
      <w:r/>
    </w:p>
    <w:p>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28"/>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w:t>
    </w:r>
    <w:r>
      <w:rPr>
        <w:rFonts w:hint="eastAsia"/>
      </w:rPr>
      <w:t xml:space="preserve"> </w:t>
    </w:r>
    <w:r>
      <w:rPr>
        <w:rFonts w:hint="eastAsia" w:ascii="隶书" w:eastAsia="隶书"/>
      </w:rPr>
      <w:t xml:space="preserve">兴化市五里东路309号            电话:180837108209                 邮政编码:225700</w:t>
    </w:r>
    <w:r/>
  </w:p>
  <w:p>
    <w:pPr>
      <w:pStyle w:val="708"/>
      <w:jc w:val="center"/>
    </w:pPr>
    <w:r>
      <w:fldChar w:fldCharType="begin"/>
    </w:r>
    <w:r>
      <w:rPr>
        <w:rStyle w:val="728"/>
      </w:rPr>
      <w:instrText xml:space="preserve"> PAGE </w:instrText>
    </w:r>
    <w:r>
      <w:fldChar w:fldCharType="separate"/>
    </w:r>
    <w:r>
      <w:rPr>
        <w:rStyle w:val="728"/>
      </w:rPr>
      <w:t xml:space="preserve">96</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Style w:val="728"/>
      </w:rPr>
      <w:framePr w:wrap="around" w:vAnchor="text" w:hAnchor="margin" w:xAlign="center" w:y="1"/>
    </w:pPr>
    <w:r>
      <w:fldChar w:fldCharType="begin"/>
    </w:r>
    <w:r>
      <w:rPr>
        <w:rStyle w:val="728"/>
      </w:rPr>
      <w:instrText xml:space="preserve">PAGE  </w:instrTex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both"/>
    </w:pPr>
    <w:r>
      <w:rPr>
        <w:rFonts w:hint="eastAsia" w:eastAsia="隶书"/>
        <w:sz w:val="24"/>
      </w:rPr>
      <w:t xml:space="preserve">江苏久格工程项目管理有限公司         </w:t>
    </w:r>
    <w:r>
      <w:rPr>
        <w:rFonts w:eastAsia="隶书"/>
        <w:sz w:val="24"/>
      </w:rPr>
      <mc:AlternateContent>
        <mc:Choice Requires="wpg">
          <w:drawing>
            <wp:inline xmlns:wp="http://schemas.openxmlformats.org/drawingml/2006/wordprocessingDrawing" distT="0" distB="0" distL="0" distR="0">
              <wp:extent cx="396875" cy="362585"/>
              <wp:effectExtent l="0" t="0" r="14604" b="3175"/>
              <wp:docPr id="1" name="图片 1" descr="I:/001-久格代理资料/久格公司标志.jpg久格公司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001-久格代理资料/久格公司标志.jpg久格公司标志"/>
                      <pic:cNvPicPr>
                        <a:picLocks noChangeAspect="1"/>
                      </pic:cNvPicPr>
                      <pic:nvPr/>
                    </pic:nvPicPr>
                    <pic:blipFill>
                      <a:blip r:embed="rId1"/>
                      <a:srcRect l="0" t="4400" r="0" b="4400"/>
                      <a:stretch/>
                    </pic:blipFill>
                    <pic:spPr bwMode="auto">
                      <a:xfrm>
                        <a:off x="0" y="0"/>
                        <a:ext cx="396875" cy="362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2pt;height:28.5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48"/>
    <w:uiPriority w:val="29"/>
    <w:rPr>
      <w:i/>
    </w:rPr>
  </w:style>
  <w:style w:type="character" w:styleId="40">
    <w:name w:val="Intense Quote Char"/>
    <w:link w:val="750"/>
    <w:uiPriority w:val="30"/>
    <w:rPr>
      <w:i/>
    </w:r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06"/>
    <w:uiPriority w:val="99"/>
    <w:rPr>
      <w:sz w:val="20"/>
    </w:rPr>
  </w:style>
  <w:style w:type="paragraph" w:styleId="189">
    <w:name w:val="TOC Heading"/>
    <w:uiPriority w:val="39"/>
    <w:unhideWhenUsed/>
  </w:style>
  <w:style w:type="paragraph" w:styleId="675" w:default="1">
    <w:name w:val="Normal"/>
    <w:next w:val="687"/>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link w:val="93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77">
    <w:name w:val="Heading 2"/>
    <w:basedOn w:val="675"/>
    <w:next w:val="675"/>
    <w:link w:val="933"/>
    <w:uiPriority w:val="0"/>
    <w:qFormat/>
    <w:pPr>
      <w:keepLines/>
      <w:keepNext/>
      <w:spacing w:before="260" w:after="260" w:line="416" w:lineRule="auto"/>
      <w:outlineLvl w:val="1"/>
    </w:pPr>
    <w:rPr>
      <w:rFonts w:ascii="Cambria" w:hAnsi="Cambria"/>
      <w:b/>
      <w:bCs/>
      <w:sz w:val="32"/>
      <w:szCs w:val="32"/>
    </w:rPr>
  </w:style>
  <w:style w:type="paragraph" w:styleId="678">
    <w:name w:val="Heading 3"/>
    <w:basedOn w:val="675"/>
    <w:next w:val="675"/>
    <w:link w:val="934"/>
    <w:uiPriority w:val="0"/>
    <w:qFormat/>
    <w:pPr>
      <w:keepLines/>
      <w:keepNext/>
      <w:spacing w:before="260" w:after="260" w:line="416" w:lineRule="auto"/>
      <w:outlineLvl w:val="2"/>
    </w:pPr>
    <w:rPr>
      <w:b/>
      <w:bCs/>
      <w:sz w:val="32"/>
      <w:szCs w:val="32"/>
    </w:rPr>
  </w:style>
  <w:style w:type="paragraph" w:styleId="679">
    <w:name w:val="Heading 4"/>
    <w:basedOn w:val="675"/>
    <w:next w:val="675"/>
    <w:link w:val="93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80">
    <w:name w:val="Heading 5"/>
    <w:basedOn w:val="675"/>
    <w:next w:val="675"/>
    <w:link w:val="936"/>
    <w:uiPriority w:val="0"/>
    <w:qFormat/>
    <w:pPr>
      <w:jc w:val="left"/>
      <w:keepLines/>
      <w:keepNext/>
      <w:spacing w:line="360" w:lineRule="auto"/>
      <w:outlineLvl w:val="4"/>
    </w:pPr>
    <w:rPr>
      <w:rFonts w:eastAsia="黑体"/>
      <w:bCs/>
      <w:sz w:val="24"/>
      <w:szCs w:val="28"/>
    </w:rPr>
  </w:style>
  <w:style w:type="paragraph" w:styleId="681">
    <w:name w:val="Heading 6"/>
    <w:basedOn w:val="675"/>
    <w:next w:val="675"/>
    <w:link w:val="937"/>
    <w:uiPriority w:val="0"/>
    <w:qFormat/>
    <w:pPr>
      <w:ind w:left="1152" w:hanging="1152"/>
      <w:jc w:val="left"/>
      <w:keepLines/>
      <w:keepNext/>
      <w:spacing w:before="240" w:after="64" w:line="320" w:lineRule="auto"/>
      <w:outlineLvl w:val="5"/>
    </w:pPr>
    <w:rPr>
      <w:rFonts w:ascii="Cambria" w:hAnsi="Cambria"/>
      <w:b/>
      <w:bCs/>
      <w:sz w:val="24"/>
    </w:rPr>
  </w:style>
  <w:style w:type="paragraph" w:styleId="682">
    <w:name w:val="Heading 7"/>
    <w:basedOn w:val="675"/>
    <w:next w:val="675"/>
    <w:link w:val="938"/>
    <w:uiPriority w:val="0"/>
    <w:qFormat/>
    <w:pPr>
      <w:ind w:left="1296" w:hanging="1296"/>
      <w:jc w:val="left"/>
      <w:keepLines/>
      <w:keepNext/>
      <w:spacing w:before="240" w:after="64" w:line="320" w:lineRule="auto"/>
      <w:outlineLvl w:val="6"/>
    </w:pPr>
    <w:rPr>
      <w:b/>
      <w:bCs/>
      <w:sz w:val="24"/>
    </w:rPr>
  </w:style>
  <w:style w:type="paragraph" w:styleId="683">
    <w:name w:val="Heading 8"/>
    <w:basedOn w:val="675"/>
    <w:next w:val="675"/>
    <w:link w:val="939"/>
    <w:uiPriority w:val="0"/>
    <w:qFormat/>
    <w:pPr>
      <w:ind w:left="1440" w:hanging="1440"/>
      <w:jc w:val="left"/>
      <w:keepLines/>
      <w:keepNext/>
      <w:spacing w:before="240" w:after="64" w:line="320" w:lineRule="auto"/>
      <w:outlineLvl w:val="7"/>
    </w:pPr>
    <w:rPr>
      <w:rFonts w:ascii="Cambria" w:hAnsi="Cambria"/>
      <w:sz w:val="24"/>
    </w:rPr>
  </w:style>
  <w:style w:type="paragraph" w:styleId="684">
    <w:name w:val="Heading 9"/>
    <w:basedOn w:val="676"/>
    <w:next w:val="675"/>
    <w:link w:val="940"/>
    <w:uiPriority w:val="0"/>
    <w:qFormat/>
    <w:pPr>
      <w:spacing w:before="0" w:line="360" w:lineRule="auto"/>
      <w:outlineLvl w:val="8"/>
    </w:pPr>
    <w:rPr>
      <w:rFonts w:ascii="Times New Roman" w:hAnsi="Times New Roman" w:eastAsia="黑体"/>
      <w:b/>
      <w:bCs/>
      <w:sz w:val="32"/>
      <w:szCs w:val="32"/>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Body Text Indent"/>
    <w:basedOn w:val="675"/>
    <w:link w:val="947"/>
    <w:uiPriority w:val="0"/>
    <w:qFormat/>
    <w:pPr>
      <w:ind w:firstLine="600"/>
    </w:pPr>
    <w:rPr>
      <w:rFonts w:eastAsia="仿宋_GB2312"/>
      <w:sz w:val="28"/>
    </w:rPr>
  </w:style>
  <w:style w:type="paragraph" w:styleId="688">
    <w:name w:val="toc 7"/>
    <w:basedOn w:val="675"/>
    <w:next w:val="675"/>
    <w:uiPriority w:val="39"/>
    <w:unhideWhenUsed/>
    <w:qFormat/>
    <w:pPr>
      <w:ind w:left="1680"/>
      <w:jc w:val="left"/>
      <w:spacing w:line="360" w:lineRule="auto"/>
    </w:pPr>
    <w:rPr>
      <w:rFonts w:ascii="Calibri" w:hAnsi="Calibri" w:cs="Calibri"/>
      <w:sz w:val="18"/>
      <w:szCs w:val="18"/>
    </w:rPr>
  </w:style>
  <w:style w:type="paragraph" w:styleId="689">
    <w:name w:val="table of authorities"/>
    <w:basedOn w:val="675"/>
    <w:next w:val="675"/>
    <w:uiPriority w:val="99"/>
    <w:unhideWhenUsed/>
    <w:qFormat/>
    <w:pPr>
      <w:ind w:left="420"/>
    </w:pPr>
    <w:rPr>
      <w:szCs w:val="20"/>
    </w:rPr>
  </w:style>
  <w:style w:type="paragraph" w:styleId="690">
    <w:name w:val="Normal Indent"/>
    <w:basedOn w:val="675"/>
    <w:link w:val="941"/>
    <w:uiPriority w:val="0"/>
    <w:qFormat/>
    <w:pPr>
      <w:ind w:firstLine="200"/>
      <w:jc w:val="left"/>
      <w:spacing w:line="500" w:lineRule="atLeast"/>
    </w:pPr>
    <w:rPr>
      <w:sz w:val="28"/>
    </w:rPr>
  </w:style>
  <w:style w:type="paragraph" w:styleId="691">
    <w:name w:val="Caption"/>
    <w:basedOn w:val="675"/>
    <w:next w:val="675"/>
    <w:link w:val="942"/>
    <w:uiPriority w:val="0"/>
    <w:qFormat/>
    <w:pPr>
      <w:jc w:val="center"/>
      <w:spacing w:line="360" w:lineRule="auto"/>
    </w:pPr>
    <w:rPr>
      <w:rFonts w:eastAsia="黑体"/>
      <w:sz w:val="24"/>
      <w:szCs w:val="20"/>
    </w:rPr>
  </w:style>
  <w:style w:type="paragraph" w:styleId="692">
    <w:name w:val="Document Map"/>
    <w:basedOn w:val="675"/>
    <w:link w:val="943"/>
    <w:uiPriority w:val="0"/>
    <w:unhideWhenUsed/>
    <w:qFormat/>
    <w:pPr>
      <w:jc w:val="left"/>
      <w:spacing w:line="360" w:lineRule="auto"/>
      <w:widowControl/>
    </w:pPr>
    <w:rPr>
      <w:rFonts w:ascii="宋体" w:hAnsi="Calibri"/>
      <w:sz w:val="18"/>
      <w:szCs w:val="18"/>
    </w:rPr>
  </w:style>
  <w:style w:type="paragraph" w:styleId="693">
    <w:name w:val="annotation text"/>
    <w:basedOn w:val="675"/>
    <w:link w:val="944"/>
    <w:uiPriority w:val="0"/>
    <w:qFormat/>
    <w:pPr>
      <w:ind w:firstLine="200"/>
      <w:jc w:val="left"/>
      <w:spacing w:line="360" w:lineRule="auto"/>
    </w:pPr>
    <w:rPr>
      <w:sz w:val="28"/>
    </w:rPr>
  </w:style>
  <w:style w:type="paragraph" w:styleId="694">
    <w:name w:val="Body Text"/>
    <w:basedOn w:val="675"/>
    <w:next w:val="695"/>
    <w:link w:val="945"/>
    <w:uiPriority w:val="99"/>
    <w:qFormat/>
    <w:pPr>
      <w:spacing w:after="120"/>
    </w:pPr>
    <w:rPr>
      <w:sz w:val="15"/>
    </w:rPr>
  </w:style>
  <w:style w:type="paragraph" w:styleId="695"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696">
    <w:name w:val="List 2"/>
    <w:basedOn w:val="675"/>
    <w:uiPriority w:val="0"/>
    <w:qFormat/>
    <w:pPr>
      <w:ind w:left="100" w:hanging="200"/>
    </w:pPr>
    <w:rPr>
      <w:sz w:val="10"/>
    </w:rPr>
  </w:style>
  <w:style w:type="paragraph" w:styleId="697">
    <w:name w:val="Block Text"/>
    <w:basedOn w:val="675"/>
    <w:uiPriority w:val="0"/>
    <w:qFormat/>
    <w:pPr>
      <w:ind w:left="1440" w:right="1440"/>
      <w:spacing w:after="120"/>
    </w:pPr>
    <w:rPr>
      <w:szCs w:val="20"/>
    </w:rPr>
  </w:style>
  <w:style w:type="paragraph" w:styleId="698">
    <w:name w:val="index 4"/>
    <w:basedOn w:val="675"/>
    <w:next w:val="675"/>
    <w:uiPriority w:val="0"/>
    <w:qFormat/>
    <w:pPr>
      <w:ind w:left="600"/>
    </w:pPr>
    <w:rPr>
      <w:rFonts w:ascii="Verdana" w:hAnsi="Verdana"/>
      <w:szCs w:val="20"/>
    </w:rPr>
  </w:style>
  <w:style w:type="paragraph" w:styleId="699">
    <w:name w:val="toc 5"/>
    <w:basedOn w:val="675"/>
    <w:next w:val="675"/>
    <w:uiPriority w:val="39"/>
    <w:qFormat/>
    <w:pPr>
      <w:ind w:left="1680" w:firstLine="200"/>
      <w:jc w:val="left"/>
      <w:spacing w:line="360" w:lineRule="auto"/>
    </w:pPr>
    <w:rPr>
      <w:sz w:val="24"/>
      <w:szCs w:val="28"/>
    </w:rPr>
  </w:style>
  <w:style w:type="paragraph" w:styleId="700">
    <w:name w:val="toc 3"/>
    <w:basedOn w:val="675"/>
    <w:next w:val="675"/>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1">
    <w:name w:val="Plain Text"/>
    <w:basedOn w:val="675"/>
    <w:next w:val="702"/>
    <w:link w:val="948"/>
    <w:uiPriority w:val="0"/>
    <w:qFormat/>
    <w:pPr>
      <w:ind w:firstLine="200"/>
      <w:jc w:val="left"/>
      <w:spacing w:line="360" w:lineRule="auto"/>
    </w:pPr>
    <w:rPr>
      <w:rFonts w:ascii="宋体" w:hAnsi="Courier New"/>
      <w:szCs w:val="21"/>
    </w:rPr>
  </w:style>
  <w:style w:type="paragraph" w:styleId="702" w:customStyle="1">
    <w:name w:val="正文zw"/>
    <w:basedOn w:val="675"/>
    <w:uiPriority w:val="0"/>
    <w:qFormat/>
    <w:pPr>
      <w:ind w:left="420" w:firstLine="420"/>
      <w:spacing w:line="360" w:lineRule="auto"/>
    </w:pPr>
    <w:rPr>
      <w:rFonts w:hint="eastAsia" w:ascii="宋体" w:hAnsi="宋体"/>
      <w:sz w:val="28"/>
      <w:szCs w:val="28"/>
    </w:rPr>
  </w:style>
  <w:style w:type="paragraph" w:styleId="703">
    <w:name w:val="toc 8"/>
    <w:basedOn w:val="675"/>
    <w:next w:val="675"/>
    <w:uiPriority w:val="39"/>
    <w:unhideWhenUsed/>
    <w:qFormat/>
    <w:pPr>
      <w:ind w:left="1960"/>
      <w:jc w:val="left"/>
      <w:spacing w:line="360" w:lineRule="auto"/>
    </w:pPr>
    <w:rPr>
      <w:rFonts w:ascii="Calibri" w:hAnsi="Calibri" w:cs="Calibri"/>
      <w:sz w:val="18"/>
      <w:szCs w:val="18"/>
    </w:rPr>
  </w:style>
  <w:style w:type="paragraph" w:styleId="704">
    <w:name w:val="Date"/>
    <w:basedOn w:val="675"/>
    <w:next w:val="675"/>
    <w:link w:val="949"/>
    <w:uiPriority w:val="0"/>
    <w:qFormat/>
    <w:pPr>
      <w:ind w:firstLine="652"/>
      <w:spacing w:line="319" w:lineRule="auto"/>
    </w:pPr>
    <w:rPr>
      <w:rFonts w:ascii="Century Schoolbook" w:hAnsi="Century Schoolbook" w:eastAsia="文鼎小标宋"/>
      <w:spacing w:val="-4"/>
      <w:sz w:val="23"/>
      <w:szCs w:val="20"/>
    </w:rPr>
  </w:style>
  <w:style w:type="paragraph" w:styleId="705">
    <w:name w:val="Body Text Indent 2"/>
    <w:basedOn w:val="675"/>
    <w:link w:val="950"/>
    <w:uiPriority w:val="99"/>
    <w:qFormat/>
    <w:pPr>
      <w:ind w:firstLine="412"/>
      <w:spacing w:line="400" w:lineRule="exact"/>
    </w:pPr>
    <w:rPr>
      <w:rFonts w:ascii="仿宋_GB2312" w:eastAsia="仿宋_GB2312"/>
      <w:sz w:val="24"/>
    </w:rPr>
  </w:style>
  <w:style w:type="paragraph" w:styleId="706">
    <w:name w:val="endnote text"/>
    <w:basedOn w:val="675"/>
    <w:link w:val="881"/>
    <w:uiPriority w:val="99"/>
    <w:semiHidden/>
    <w:unhideWhenUsed/>
    <w:qFormat/>
    <w:rPr>
      <w:sz w:val="20"/>
    </w:rPr>
  </w:style>
  <w:style w:type="paragraph" w:styleId="707">
    <w:name w:val="Balloon Text"/>
    <w:basedOn w:val="675"/>
    <w:link w:val="951"/>
    <w:uiPriority w:val="0"/>
    <w:semiHidden/>
    <w:qFormat/>
    <w:rPr>
      <w:sz w:val="18"/>
      <w:szCs w:val="18"/>
    </w:rPr>
  </w:style>
  <w:style w:type="paragraph" w:styleId="708">
    <w:name w:val="Footer"/>
    <w:basedOn w:val="675"/>
    <w:link w:val="884"/>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709">
    <w:name w:val="envelope return"/>
    <w:basedOn w:val="675"/>
    <w:uiPriority w:val="99"/>
    <w:unhideWhenUsed/>
    <w:qFormat/>
    <w:rPr>
      <w:rFonts w:ascii="Arial" w:hAnsi="Arial"/>
    </w:rPr>
  </w:style>
  <w:style w:type="paragraph" w:styleId="710">
    <w:name w:val="Header"/>
    <w:basedOn w:val="675"/>
    <w:link w:val="883"/>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711">
    <w:name w:val="toc 1"/>
    <w:basedOn w:val="675"/>
    <w:next w:val="675"/>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12">
    <w:name w:val="toc 4"/>
    <w:basedOn w:val="675"/>
    <w:next w:val="675"/>
    <w:uiPriority w:val="39"/>
    <w:unhideWhenUsed/>
    <w:qFormat/>
    <w:pPr>
      <w:ind w:left="840"/>
      <w:jc w:val="left"/>
      <w:spacing w:line="360" w:lineRule="auto"/>
    </w:pPr>
    <w:rPr>
      <w:rFonts w:ascii="Calibri" w:hAnsi="Calibri" w:cs="Calibri"/>
      <w:sz w:val="18"/>
      <w:szCs w:val="18"/>
    </w:rPr>
  </w:style>
  <w:style w:type="paragraph" w:styleId="713">
    <w:name w:val="Subtitle"/>
    <w:basedOn w:val="675"/>
    <w:next w:val="675"/>
    <w:link w:val="952"/>
    <w:uiPriority w:val="11"/>
    <w:qFormat/>
    <w:pPr>
      <w:ind w:firstLine="200"/>
      <w:jc w:val="left"/>
      <w:spacing w:line="400" w:lineRule="exact"/>
      <w:outlineLvl w:val="1"/>
    </w:pPr>
    <w:rPr>
      <w:rFonts w:ascii="Cambria" w:hAnsi="Cambria" w:eastAsia="黑体"/>
      <w:b/>
      <w:bCs/>
      <w:szCs w:val="32"/>
    </w:rPr>
  </w:style>
  <w:style w:type="paragraph" w:styleId="714">
    <w:name w:val="footnote text"/>
    <w:basedOn w:val="675"/>
    <w:link w:val="953"/>
    <w:uiPriority w:val="0"/>
    <w:qFormat/>
    <w:pPr>
      <w:ind w:firstLine="200"/>
      <w:jc w:val="left"/>
      <w:spacing w:line="360" w:lineRule="auto"/>
    </w:pPr>
    <w:rPr>
      <w:sz w:val="18"/>
      <w:szCs w:val="18"/>
    </w:rPr>
  </w:style>
  <w:style w:type="paragraph" w:styleId="715">
    <w:name w:val="toc 6"/>
    <w:basedOn w:val="675"/>
    <w:next w:val="675"/>
    <w:uiPriority w:val="39"/>
    <w:unhideWhenUsed/>
    <w:qFormat/>
    <w:pPr>
      <w:ind w:left="1400"/>
      <w:jc w:val="left"/>
      <w:spacing w:line="360" w:lineRule="auto"/>
    </w:pPr>
    <w:rPr>
      <w:rFonts w:ascii="Calibri" w:hAnsi="Calibri" w:cs="Calibri"/>
      <w:sz w:val="18"/>
      <w:szCs w:val="18"/>
    </w:rPr>
  </w:style>
  <w:style w:type="paragraph" w:styleId="716">
    <w:name w:val="Body Text Indent 3"/>
    <w:basedOn w:val="675"/>
    <w:link w:val="954"/>
    <w:uiPriority w:val="0"/>
    <w:qFormat/>
    <w:pPr>
      <w:ind w:firstLine="600"/>
      <w:spacing w:before="50" w:after="50" w:line="400" w:lineRule="exact"/>
    </w:pPr>
    <w:rPr>
      <w:rFonts w:ascii="仿宋_GB2312" w:hAnsi="宋体" w:eastAsia="仿宋_GB2312"/>
      <w:sz w:val="32"/>
    </w:rPr>
  </w:style>
  <w:style w:type="paragraph" w:styleId="717">
    <w:name w:val="table of figures"/>
    <w:basedOn w:val="675"/>
    <w:next w:val="675"/>
    <w:uiPriority w:val="99"/>
    <w:unhideWhenUsed/>
    <w:qFormat/>
  </w:style>
  <w:style w:type="paragraph" w:styleId="718">
    <w:name w:val="toc 2"/>
    <w:basedOn w:val="675"/>
    <w:next w:val="675"/>
    <w:uiPriority w:val="39"/>
    <w:qFormat/>
    <w:pPr>
      <w:ind w:left="480"/>
      <w:jc w:val="left"/>
      <w:spacing w:line="360" w:lineRule="auto"/>
      <w:widowControl/>
      <w:tabs>
        <w:tab w:val="left" w:pos="1134" w:leader="none"/>
        <w:tab w:val="right" w:pos="9639" w:leader="dot"/>
      </w:tabs>
    </w:pPr>
    <w:rPr>
      <w:sz w:val="24"/>
      <w:szCs w:val="22"/>
    </w:rPr>
  </w:style>
  <w:style w:type="paragraph" w:styleId="719">
    <w:name w:val="toc 9"/>
    <w:basedOn w:val="675"/>
    <w:next w:val="675"/>
    <w:uiPriority w:val="39"/>
    <w:unhideWhenUsed/>
    <w:qFormat/>
    <w:pPr>
      <w:ind w:left="2240"/>
      <w:jc w:val="left"/>
      <w:spacing w:line="360" w:lineRule="auto"/>
    </w:pPr>
    <w:rPr>
      <w:rFonts w:ascii="Calibri" w:hAnsi="Calibri" w:cs="Calibri"/>
      <w:sz w:val="18"/>
      <w:szCs w:val="18"/>
    </w:rPr>
  </w:style>
  <w:style w:type="paragraph" w:styleId="720">
    <w:name w:val="Normal (Web)"/>
    <w:basedOn w:val="675"/>
    <w:uiPriority w:val="99"/>
    <w:qFormat/>
    <w:pPr>
      <w:jc w:val="left"/>
      <w:spacing w:before="100" w:beforeAutospacing="1" w:after="100" w:afterAutospacing="1"/>
      <w:widowControl/>
    </w:pPr>
    <w:rPr>
      <w:rFonts w:ascii="宋体" w:hAnsi="宋体"/>
      <w:sz w:val="24"/>
    </w:rPr>
  </w:style>
  <w:style w:type="paragraph" w:styleId="721">
    <w:name w:val="Title"/>
    <w:basedOn w:val="675"/>
    <w:next w:val="675"/>
    <w:link w:val="955"/>
    <w:uiPriority w:val="10"/>
    <w:qFormat/>
    <w:pPr>
      <w:jc w:val="center"/>
      <w:spacing w:before="240" w:after="60" w:line="360" w:lineRule="auto"/>
      <w:outlineLvl w:val="0"/>
    </w:pPr>
    <w:rPr>
      <w:rFonts w:ascii="Cambria" w:hAnsi="Cambria"/>
      <w:b/>
      <w:bCs/>
      <w:sz w:val="32"/>
      <w:szCs w:val="32"/>
    </w:rPr>
  </w:style>
  <w:style w:type="paragraph" w:styleId="722">
    <w:name w:val="annotation subject"/>
    <w:basedOn w:val="693"/>
    <w:next w:val="693"/>
    <w:link w:val="956"/>
    <w:uiPriority w:val="0"/>
    <w:qFormat/>
    <w:rPr>
      <w:b/>
      <w:bCs/>
    </w:rPr>
  </w:style>
  <w:style w:type="paragraph" w:styleId="723">
    <w:name w:val="Body Text First Indent"/>
    <w:basedOn w:val="694"/>
    <w:next w:val="724"/>
    <w:link w:val="957"/>
    <w:uiPriority w:val="0"/>
    <w:qFormat/>
    <w:pPr>
      <w:ind w:firstLine="420"/>
    </w:pPr>
    <w:rPr>
      <w:sz w:val="21"/>
    </w:rPr>
  </w:style>
  <w:style w:type="paragraph" w:styleId="724">
    <w:name w:val="Body Text First Indent 2"/>
    <w:basedOn w:val="687"/>
    <w:next w:val="675"/>
    <w:link w:val="958"/>
    <w:uiPriority w:val="0"/>
    <w:qFormat/>
    <w:pPr>
      <w:ind w:left="420" w:firstLine="420"/>
      <w:jc w:val="left"/>
      <w:spacing w:after="120"/>
    </w:pPr>
    <w:rPr>
      <w:rFonts w:eastAsia="宋体"/>
      <w:sz w:val="21"/>
    </w:rPr>
  </w:style>
  <w:style w:type="table" w:styleId="725">
    <w:name w:val="Table Grid"/>
    <w:basedOn w:val="686"/>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uiPriority w:val="0"/>
    <w:qFormat/>
    <w:rPr>
      <w:b/>
      <w:bCs/>
    </w:rPr>
  </w:style>
  <w:style w:type="character" w:styleId="727">
    <w:name w:val="endnote reference"/>
    <w:basedOn w:val="685"/>
    <w:uiPriority w:val="99"/>
    <w:semiHidden/>
    <w:unhideWhenUsed/>
    <w:qFormat/>
    <w:rPr>
      <w:vertAlign w:val="superscript"/>
    </w:rPr>
  </w:style>
  <w:style w:type="character" w:styleId="728">
    <w:name w:val="page number"/>
    <w:basedOn w:val="685"/>
    <w:uiPriority w:val="0"/>
    <w:qFormat/>
  </w:style>
  <w:style w:type="character" w:styleId="729">
    <w:name w:val="FollowedHyperlink"/>
    <w:basedOn w:val="685"/>
    <w:uiPriority w:val="99"/>
    <w:unhideWhenUsed/>
    <w:qFormat/>
    <w:rPr>
      <w:color w:val="800080"/>
      <w:u w:val="single"/>
    </w:rPr>
  </w:style>
  <w:style w:type="character" w:styleId="730">
    <w:name w:val="Hyperlink"/>
    <w:basedOn w:val="685"/>
    <w:uiPriority w:val="0"/>
    <w:unhideWhenUsed/>
    <w:qFormat/>
    <w:rPr>
      <w:color w:val="0000ff"/>
      <w:u w:val="single"/>
    </w:rPr>
  </w:style>
  <w:style w:type="character" w:styleId="731">
    <w:name w:val="annotation reference"/>
    <w:uiPriority w:val="0"/>
    <w:qFormat/>
    <w:rPr>
      <w:sz w:val="21"/>
      <w:szCs w:val="21"/>
    </w:rPr>
  </w:style>
  <w:style w:type="character" w:styleId="732">
    <w:name w:val="footnote reference"/>
    <w:uiPriority w:val="0"/>
    <w:qFormat/>
    <w:rPr>
      <w:vertAlign w:val="superscript"/>
    </w:rPr>
  </w:style>
  <w:style w:type="paragraph" w:styleId="733" w:customStyle="1">
    <w:name w:val="标题 31"/>
    <w:basedOn w:val="675"/>
    <w:next w:val="675"/>
    <w:uiPriority w:val="0"/>
    <w:qFormat/>
    <w:pPr>
      <w:ind w:left="120" w:firstLine="200"/>
      <w:jc w:val="left"/>
      <w:outlineLvl w:val="2"/>
    </w:pPr>
    <w:rPr>
      <w:rFonts w:ascii="宋体" w:cs="宋体"/>
      <w:b/>
      <w:bCs/>
      <w:sz w:val="24"/>
    </w:rPr>
  </w:style>
  <w:style w:type="paragraph" w:styleId="734" w:customStyle="1">
    <w:name w:val="正文1"/>
    <w:next w:val="735"/>
    <w:link w:val="979"/>
    <w:uiPriority w:val="0"/>
    <w:qFormat/>
    <w:pPr>
      <w:spacing w:line="560" w:lineRule="atLeast"/>
      <w:widowControl w:val="off"/>
    </w:pPr>
    <w:rPr>
      <w:rFonts w:asciiTheme="minorHAnsi" w:hAnsiTheme="minorHAnsi" w:eastAsiaTheme="minorEastAsia" w:cstheme="minorBidi"/>
      <w:sz w:val="28"/>
      <w:szCs w:val="22"/>
      <w:lang w:val="en-US" w:eastAsia="zh-CN" w:bidi="ar-SA"/>
    </w:rPr>
  </w:style>
  <w:style w:type="paragraph" w:styleId="735"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character" w:styleId="736" w:customStyle="1">
    <w:name w:val="Heading 1 Char"/>
    <w:basedOn w:val="685"/>
    <w:uiPriority w:val="9"/>
    <w:qFormat/>
    <w:rPr>
      <w:rFonts w:ascii="Arial" w:hAnsi="Arial" w:eastAsia="Arial" w:cs="Arial"/>
      <w:sz w:val="40"/>
      <w:szCs w:val="40"/>
    </w:rPr>
  </w:style>
  <w:style w:type="character" w:styleId="737" w:customStyle="1">
    <w:name w:val="Heading 2 Char"/>
    <w:basedOn w:val="685"/>
    <w:uiPriority w:val="9"/>
    <w:qFormat/>
    <w:rPr>
      <w:rFonts w:ascii="Arial" w:hAnsi="Arial" w:eastAsia="Arial" w:cs="Arial"/>
      <w:sz w:val="34"/>
    </w:rPr>
  </w:style>
  <w:style w:type="character" w:styleId="738" w:customStyle="1">
    <w:name w:val="Heading 3 Char"/>
    <w:basedOn w:val="685"/>
    <w:uiPriority w:val="9"/>
    <w:qFormat/>
    <w:rPr>
      <w:rFonts w:ascii="Arial" w:hAnsi="Arial" w:eastAsia="Arial" w:cs="Arial"/>
      <w:sz w:val="30"/>
      <w:szCs w:val="30"/>
    </w:rPr>
  </w:style>
  <w:style w:type="character" w:styleId="739" w:customStyle="1">
    <w:name w:val="Heading 4 Char"/>
    <w:basedOn w:val="685"/>
    <w:uiPriority w:val="9"/>
    <w:qFormat/>
    <w:rPr>
      <w:rFonts w:ascii="Arial" w:hAnsi="Arial" w:eastAsia="Arial" w:cs="Arial"/>
      <w:b/>
      <w:bCs/>
      <w:sz w:val="26"/>
      <w:szCs w:val="26"/>
    </w:rPr>
  </w:style>
  <w:style w:type="character" w:styleId="740" w:customStyle="1">
    <w:name w:val="Heading 5 Char"/>
    <w:basedOn w:val="685"/>
    <w:uiPriority w:val="9"/>
    <w:qFormat/>
    <w:rPr>
      <w:rFonts w:ascii="Arial" w:hAnsi="Arial" w:eastAsia="Arial" w:cs="Arial"/>
      <w:b/>
      <w:bCs/>
      <w:sz w:val="24"/>
      <w:szCs w:val="24"/>
    </w:rPr>
  </w:style>
  <w:style w:type="character" w:styleId="741" w:customStyle="1">
    <w:name w:val="Heading 6 Char"/>
    <w:basedOn w:val="685"/>
    <w:uiPriority w:val="9"/>
    <w:qFormat/>
    <w:rPr>
      <w:rFonts w:ascii="Arial" w:hAnsi="Arial" w:eastAsia="Arial" w:cs="Arial"/>
      <w:b/>
      <w:bCs/>
      <w:sz w:val="22"/>
      <w:szCs w:val="22"/>
    </w:rPr>
  </w:style>
  <w:style w:type="character" w:styleId="742" w:customStyle="1">
    <w:name w:val="Heading 7 Char"/>
    <w:basedOn w:val="685"/>
    <w:uiPriority w:val="9"/>
    <w:qFormat/>
    <w:rPr>
      <w:rFonts w:ascii="Arial" w:hAnsi="Arial" w:eastAsia="Arial" w:cs="Arial"/>
      <w:b/>
      <w:bCs/>
      <w:i/>
      <w:iCs/>
      <w:sz w:val="22"/>
      <w:szCs w:val="22"/>
    </w:rPr>
  </w:style>
  <w:style w:type="character" w:styleId="743" w:customStyle="1">
    <w:name w:val="Heading 8 Char"/>
    <w:basedOn w:val="685"/>
    <w:uiPriority w:val="9"/>
    <w:qFormat/>
    <w:rPr>
      <w:rFonts w:ascii="Arial" w:hAnsi="Arial" w:eastAsia="Arial" w:cs="Arial"/>
      <w:i/>
      <w:iCs/>
      <w:sz w:val="22"/>
      <w:szCs w:val="22"/>
    </w:rPr>
  </w:style>
  <w:style w:type="character" w:styleId="744" w:customStyle="1">
    <w:name w:val="Heading 9 Char"/>
    <w:basedOn w:val="685"/>
    <w:uiPriority w:val="9"/>
    <w:qFormat/>
    <w:rPr>
      <w:rFonts w:ascii="Arial" w:hAnsi="Arial" w:eastAsia="Arial" w:cs="Arial"/>
      <w:i/>
      <w:iCs/>
      <w:sz w:val="21"/>
      <w:szCs w:val="21"/>
    </w:rPr>
  </w:style>
  <w:style w:type="paragraph" w:styleId="745">
    <w:name w:val="No Spacing"/>
    <w:uiPriority w:val="1"/>
    <w:qFormat/>
    <w:rPr>
      <w:rFonts w:ascii="Times New Roman" w:hAnsi="Times New Roman" w:eastAsia="宋体" w:cs="Times New Roman"/>
      <w:lang w:val="en-US" w:eastAsia="zh-CN" w:bidi="ar-SA"/>
    </w:rPr>
  </w:style>
  <w:style w:type="character" w:styleId="746" w:customStyle="1">
    <w:name w:val="Title Char"/>
    <w:basedOn w:val="685"/>
    <w:uiPriority w:val="10"/>
    <w:qFormat/>
    <w:rPr>
      <w:sz w:val="48"/>
      <w:szCs w:val="48"/>
    </w:rPr>
  </w:style>
  <w:style w:type="character" w:styleId="747" w:customStyle="1">
    <w:name w:val="Subtitle Char"/>
    <w:basedOn w:val="685"/>
    <w:uiPriority w:val="11"/>
    <w:qFormat/>
    <w:rPr>
      <w:sz w:val="24"/>
      <w:szCs w:val="24"/>
    </w:rPr>
  </w:style>
  <w:style w:type="paragraph" w:styleId="748">
    <w:name w:val="Quote"/>
    <w:basedOn w:val="675"/>
    <w:next w:val="675"/>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675"/>
    <w:next w:val="675"/>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Header Char"/>
    <w:basedOn w:val="685"/>
    <w:uiPriority w:val="99"/>
    <w:qFormat/>
  </w:style>
  <w:style w:type="character" w:styleId="753" w:customStyle="1">
    <w:name w:val="Footer Char"/>
    <w:basedOn w:val="685"/>
    <w:uiPriority w:val="99"/>
    <w:qFormat/>
  </w:style>
  <w:style w:type="character" w:styleId="754" w:customStyle="1">
    <w:name w:val="Caption Char"/>
    <w:uiPriority w:val="99"/>
    <w:qFormat/>
  </w:style>
  <w:style w:type="table" w:styleId="755" w:customStyle="1">
    <w:name w:val="Table Grid Light"/>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无格式表格 11"/>
    <w:basedOn w:val="6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6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68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6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6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6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6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6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6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6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网格表 2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6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6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6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6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6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6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网格表 31"/>
    <w:basedOn w:val="6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6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6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6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6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68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68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6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6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basedOn w:val="6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basedOn w:val="6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basedOn w:val="6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basedOn w:val="6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basedOn w:val="6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网格表 5 深色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basedOn w:val="6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网格表 6 彩色1"/>
    <w:basedOn w:val="6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6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6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6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0" w:customStyle="1">
    <w:name w:val="Grid Table 6 Colorful - Accent 4"/>
    <w:basedOn w:val="6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6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basedOn w:val="6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网格表 7 彩色1"/>
    <w:basedOn w:val="6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6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6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6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6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6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6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清单表 1 浅色1"/>
    <w:basedOn w:val="68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68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68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68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68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68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68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清单表 21"/>
    <w:basedOn w:val="6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6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basedOn w:val="6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basedOn w:val="6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basedOn w:val="6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basedOn w:val="6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basedOn w:val="6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清单表 3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6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basedOn w:val="6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6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6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6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6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清单表 41"/>
    <w:basedOn w:val="6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6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basedOn w:val="6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basedOn w:val="6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basedOn w:val="6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basedOn w:val="6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basedOn w:val="6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清单表 5 深色1"/>
    <w:basedOn w:val="6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6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6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6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6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6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6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清单表 6 彩色1"/>
    <w:basedOn w:val="68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68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basedOn w:val="68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basedOn w:val="68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basedOn w:val="68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basedOn w:val="68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basedOn w:val="68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清单表 7 彩色1"/>
    <w:basedOn w:val="68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68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68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68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68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68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68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basedOn w:val="68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basedOn w:val="6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6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basedOn w:val="6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basedOn w:val="6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basedOn w:val="6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basedOn w:val="6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basedOn w:val="6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basedOn w:val="6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6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basedOn w:val="6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basedOn w:val="6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basedOn w:val="6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basedOn w:val="6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basedOn w:val="6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uiPriority w:val="99"/>
    <w:qFormat/>
    <w:rPr>
      <w:sz w:val="18"/>
    </w:rPr>
  </w:style>
  <w:style w:type="character" w:styleId="881" w:customStyle="1">
    <w:name w:val="尾注文本 Char"/>
    <w:link w:val="706"/>
    <w:uiPriority w:val="99"/>
    <w:qFormat/>
    <w:rPr>
      <w:sz w:val="20"/>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character" w:styleId="883" w:customStyle="1">
    <w:name w:val="页眉 Char"/>
    <w:basedOn w:val="685"/>
    <w:link w:val="710"/>
    <w:uiPriority w:val="99"/>
    <w:qFormat/>
    <w:rPr>
      <w:sz w:val="18"/>
      <w:szCs w:val="18"/>
    </w:rPr>
  </w:style>
  <w:style w:type="character" w:styleId="884" w:customStyle="1">
    <w:name w:val="页脚 Char"/>
    <w:basedOn w:val="685"/>
    <w:link w:val="708"/>
    <w:uiPriority w:val="99"/>
    <w:qFormat/>
    <w:rPr>
      <w:sz w:val="18"/>
      <w:szCs w:val="18"/>
    </w:rPr>
  </w:style>
  <w:style w:type="paragraph" w:styleId="885" w:customStyle="1">
    <w:name w:val="xl108"/>
    <w:basedOn w:val="675"/>
    <w:uiPriority w:val="0"/>
    <w:qFormat/>
    <w:pPr>
      <w:jc w:val="center"/>
      <w:spacing w:before="100" w:beforeAutospacing="1" w:after="100" w:afterAutospacing="1"/>
      <w:widowControl/>
    </w:pPr>
    <w:rPr>
      <w:rFonts w:ascii="宋体" w:hAnsi="宋体" w:cs="宋体"/>
      <w:sz w:val="24"/>
    </w:rPr>
  </w:style>
  <w:style w:type="paragraph" w:styleId="886" w:customStyle="1">
    <w:name w:val="xl109"/>
    <w:basedOn w:val="675"/>
    <w:uiPriority w:val="0"/>
    <w:qFormat/>
    <w:pPr>
      <w:jc w:val="center"/>
      <w:spacing w:before="100" w:beforeAutospacing="1" w:after="100" w:afterAutospacing="1"/>
      <w:shd w:val="clear" w:color="000000" w:fill="ffffff"/>
      <w:widowControl/>
    </w:pPr>
    <w:rPr>
      <w:rFonts w:ascii="宋体" w:hAnsi="宋体" w:cs="宋体"/>
      <w:sz w:val="24"/>
    </w:rPr>
  </w:style>
  <w:style w:type="paragraph" w:styleId="887" w:customStyle="1">
    <w:name w:val="xl110"/>
    <w:basedOn w:val="675"/>
    <w:uiPriority w:val="0"/>
    <w:qFormat/>
    <w:pPr>
      <w:jc w:val="center"/>
      <w:spacing w:before="100" w:beforeAutospacing="1" w:after="100" w:afterAutospacing="1"/>
      <w:shd w:val="clear" w:color="000000" w:fill="92d050"/>
      <w:widowControl/>
    </w:pPr>
    <w:rPr>
      <w:rFonts w:ascii="宋体" w:hAnsi="宋体" w:cs="宋体"/>
      <w:sz w:val="24"/>
    </w:rPr>
  </w:style>
  <w:style w:type="paragraph" w:styleId="888" w:customStyle="1">
    <w:name w:val="xl111"/>
    <w:basedOn w:val="675"/>
    <w:uiPriority w:val="0"/>
    <w:qFormat/>
    <w:pPr>
      <w:jc w:val="left"/>
      <w:spacing w:before="100" w:beforeAutospacing="1" w:after="100" w:afterAutospacing="1"/>
      <w:widowControl/>
    </w:pPr>
    <w:rPr>
      <w:rFonts w:ascii="宋体" w:hAnsi="宋体" w:cs="宋体"/>
      <w:sz w:val="20"/>
      <w:szCs w:val="20"/>
    </w:rPr>
  </w:style>
  <w:style w:type="paragraph" w:styleId="889" w:customStyle="1">
    <w:name w:val="xl112"/>
    <w:basedOn w:val="675"/>
    <w:uiPriority w:val="0"/>
    <w:qFormat/>
    <w:pPr>
      <w:jc w:val="center"/>
      <w:spacing w:before="100" w:beforeAutospacing="1" w:after="100" w:afterAutospacing="1"/>
      <w:widowControl/>
    </w:pPr>
    <w:rPr>
      <w:rFonts w:ascii="宋体" w:hAnsi="宋体" w:cs="宋体"/>
      <w:sz w:val="20"/>
      <w:szCs w:val="20"/>
    </w:rPr>
  </w:style>
  <w:style w:type="paragraph" w:styleId="890" w:customStyle="1">
    <w:name w:val="xl11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1" w:customStyle="1">
    <w:name w:val="xl11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2" w:customStyle="1">
    <w:name w:val="xl115"/>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3" w:customStyle="1">
    <w:name w:val="xl11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4" w:customStyle="1">
    <w:name w:val="xl11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5" w:customStyle="1">
    <w:name w:val="xl118"/>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6" w:customStyle="1">
    <w:name w:val="xl11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897" w:customStyle="1">
    <w:name w:val="xl120"/>
    <w:basedOn w:val="67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8" w:customStyle="1">
    <w:name w:val="xl121"/>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9" w:customStyle="1">
    <w:name w:val="xl12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0" w:customStyle="1">
    <w:name w:val="xl12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1" w:customStyle="1">
    <w:name w:val="xl124"/>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2" w:customStyle="1">
    <w:name w:val="xl125"/>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3" w:customStyle="1">
    <w:name w:val="xl126"/>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4" w:customStyle="1">
    <w:name w:val="xl127"/>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5" w:customStyle="1">
    <w:name w:val="xl128"/>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6" w:customStyle="1">
    <w:name w:val="xl12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7" w:customStyle="1">
    <w:name w:val="xl13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8" w:customStyle="1">
    <w:name w:val="xl13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9" w:customStyle="1">
    <w:name w:val="xl132"/>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0" w:customStyle="1">
    <w:name w:val="xl133"/>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1" w:customStyle="1">
    <w:name w:val="xl134"/>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12" w:customStyle="1">
    <w:name w:val="xl135"/>
    <w:basedOn w:val="675"/>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3" w:customStyle="1">
    <w:name w:val="xl13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14" w:customStyle="1">
    <w:name w:val="xl137"/>
    <w:basedOn w:val="675"/>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5" w:customStyle="1">
    <w:name w:val="xl138"/>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6" w:customStyle="1">
    <w:name w:val="xl139"/>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7" w:customStyle="1">
    <w:name w:val="xl140"/>
    <w:basedOn w:val="6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18" w:customStyle="1">
    <w:name w:val="xl141"/>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19" w:customStyle="1">
    <w:name w:val="xl142"/>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20" w:customStyle="1">
    <w:name w:val="xl143"/>
    <w:basedOn w:val="675"/>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921" w:customStyle="1">
    <w:name w:val="xl14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2" w:customStyle="1">
    <w:name w:val="xl145"/>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3" w:customStyle="1">
    <w:name w:val="xl146"/>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4" w:customStyle="1">
    <w:name w:val="xl147"/>
    <w:basedOn w:val="6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5" w:customStyle="1">
    <w:name w:val="xl148"/>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6" w:customStyle="1">
    <w:name w:val="xl149"/>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7" w:customStyle="1">
    <w:name w:val="xl15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8" w:customStyle="1">
    <w:name w:val="xl15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9" w:customStyle="1">
    <w:name w:val="xl152"/>
    <w:basedOn w:val="675"/>
    <w:uiPriority w:val="0"/>
    <w:qFormat/>
    <w:pPr>
      <w:jc w:val="left"/>
      <w:spacing w:before="100" w:beforeAutospacing="1" w:after="100" w:afterAutospacing="1"/>
      <w:widowControl/>
    </w:pPr>
    <w:rPr>
      <w:rFonts w:ascii="宋体" w:hAnsi="宋体" w:cs="宋体"/>
      <w:sz w:val="24"/>
    </w:rPr>
  </w:style>
  <w:style w:type="paragraph" w:styleId="930" w:customStyle="1">
    <w:name w:val="xl153"/>
    <w:basedOn w:val="675"/>
    <w:uiPriority w:val="0"/>
    <w:qFormat/>
    <w:pPr>
      <w:jc w:val="left"/>
      <w:spacing w:before="100" w:beforeAutospacing="1" w:after="100" w:afterAutospacing="1"/>
      <w:widowControl/>
    </w:pPr>
    <w:rPr>
      <w:rFonts w:ascii="宋体" w:hAnsi="宋体" w:cs="宋体"/>
      <w:sz w:val="24"/>
    </w:rPr>
  </w:style>
  <w:style w:type="paragraph" w:styleId="931" w:customStyle="1">
    <w:name w:val="xl15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932" w:customStyle="1">
    <w:name w:val="标题 1 Char"/>
    <w:basedOn w:val="685"/>
    <w:link w:val="676"/>
    <w:uiPriority w:val="0"/>
    <w:qFormat/>
    <w:rPr>
      <w:rFonts w:ascii="Century Schoolbook" w:hAnsi="Century Schoolbook" w:eastAsia="微软简标宋" w:cs="Times New Roman"/>
      <w:sz w:val="40"/>
      <w:szCs w:val="20"/>
    </w:rPr>
  </w:style>
  <w:style w:type="character" w:styleId="933" w:customStyle="1">
    <w:name w:val="标题 2 Char"/>
    <w:basedOn w:val="685"/>
    <w:link w:val="677"/>
    <w:uiPriority w:val="0"/>
    <w:qFormat/>
    <w:rPr>
      <w:rFonts w:ascii="Cambria" w:hAnsi="Cambria" w:eastAsia="宋体" w:cs="Times New Roman"/>
      <w:b/>
      <w:bCs/>
      <w:sz w:val="32"/>
      <w:szCs w:val="32"/>
    </w:rPr>
  </w:style>
  <w:style w:type="character" w:styleId="934" w:customStyle="1">
    <w:name w:val="标题 3 Char"/>
    <w:basedOn w:val="685"/>
    <w:link w:val="678"/>
    <w:uiPriority w:val="0"/>
    <w:qFormat/>
    <w:rPr>
      <w:rFonts w:ascii="Times New Roman" w:hAnsi="Times New Roman" w:eastAsia="宋体" w:cs="Times New Roman"/>
      <w:b/>
      <w:bCs/>
      <w:sz w:val="32"/>
      <w:szCs w:val="32"/>
    </w:rPr>
  </w:style>
  <w:style w:type="character" w:styleId="935" w:customStyle="1">
    <w:name w:val="标题 4 Char"/>
    <w:basedOn w:val="685"/>
    <w:link w:val="679"/>
    <w:uiPriority w:val="0"/>
    <w:qFormat/>
    <w:rPr>
      <w:rFonts w:ascii="Century Schoolbook" w:hAnsi="Century Schoolbook" w:eastAsia="楷体_GB2312" w:cs="Times New Roman"/>
      <w:sz w:val="32"/>
      <w:szCs w:val="20"/>
    </w:rPr>
  </w:style>
  <w:style w:type="character" w:styleId="936" w:customStyle="1">
    <w:name w:val="标题 5 Char"/>
    <w:basedOn w:val="685"/>
    <w:link w:val="680"/>
    <w:uiPriority w:val="0"/>
    <w:qFormat/>
    <w:rPr>
      <w:rFonts w:ascii="Times New Roman" w:hAnsi="Times New Roman" w:eastAsia="黑体" w:cs="Times New Roman"/>
      <w:bCs/>
      <w:sz w:val="24"/>
      <w:szCs w:val="28"/>
    </w:rPr>
  </w:style>
  <w:style w:type="character" w:styleId="937" w:customStyle="1">
    <w:name w:val="标题 6 Char"/>
    <w:basedOn w:val="685"/>
    <w:link w:val="681"/>
    <w:uiPriority w:val="0"/>
    <w:qFormat/>
    <w:rPr>
      <w:rFonts w:ascii="Cambria" w:hAnsi="Cambria" w:eastAsia="宋体" w:cs="Times New Roman"/>
      <w:b/>
      <w:bCs/>
      <w:sz w:val="24"/>
      <w:szCs w:val="24"/>
    </w:rPr>
  </w:style>
  <w:style w:type="character" w:styleId="938" w:customStyle="1">
    <w:name w:val="标题 7 Char"/>
    <w:basedOn w:val="685"/>
    <w:link w:val="682"/>
    <w:uiPriority w:val="0"/>
    <w:qFormat/>
    <w:rPr>
      <w:rFonts w:ascii="Times New Roman" w:hAnsi="Times New Roman" w:eastAsia="宋体" w:cs="Times New Roman"/>
      <w:b/>
      <w:bCs/>
      <w:sz w:val="24"/>
      <w:szCs w:val="24"/>
    </w:rPr>
  </w:style>
  <w:style w:type="character" w:styleId="939" w:customStyle="1">
    <w:name w:val="标题 8 Char"/>
    <w:basedOn w:val="685"/>
    <w:link w:val="683"/>
    <w:uiPriority w:val="0"/>
    <w:qFormat/>
    <w:rPr>
      <w:rFonts w:ascii="Cambria" w:hAnsi="Cambria" w:eastAsia="宋体" w:cs="Times New Roman"/>
      <w:sz w:val="24"/>
      <w:szCs w:val="24"/>
    </w:rPr>
  </w:style>
  <w:style w:type="character" w:styleId="940" w:customStyle="1">
    <w:name w:val="标题 9 Char"/>
    <w:basedOn w:val="685"/>
    <w:link w:val="684"/>
    <w:uiPriority w:val="0"/>
    <w:qFormat/>
    <w:rPr>
      <w:rFonts w:ascii="Times New Roman" w:hAnsi="Times New Roman" w:eastAsia="黑体" w:cs="Times New Roman"/>
      <w:b/>
      <w:bCs/>
      <w:sz w:val="32"/>
      <w:szCs w:val="32"/>
    </w:rPr>
  </w:style>
  <w:style w:type="character" w:styleId="941" w:customStyle="1">
    <w:name w:val="正文缩进 Char"/>
    <w:link w:val="690"/>
    <w:uiPriority w:val="0"/>
    <w:qFormat/>
    <w:rPr>
      <w:rFonts w:ascii="Times New Roman" w:hAnsi="Times New Roman" w:eastAsia="宋体" w:cs="Times New Roman"/>
      <w:sz w:val="28"/>
      <w:szCs w:val="24"/>
    </w:rPr>
  </w:style>
  <w:style w:type="character" w:styleId="942" w:customStyle="1">
    <w:name w:val="题注 Char"/>
    <w:link w:val="691"/>
    <w:uiPriority w:val="0"/>
    <w:qFormat/>
    <w:rPr>
      <w:rFonts w:ascii="Times New Roman" w:hAnsi="Times New Roman" w:eastAsia="黑体" w:cs="Times New Roman"/>
      <w:sz w:val="24"/>
      <w:szCs w:val="20"/>
    </w:rPr>
  </w:style>
  <w:style w:type="character" w:styleId="943" w:customStyle="1">
    <w:name w:val="文档结构图 Char"/>
    <w:basedOn w:val="685"/>
    <w:link w:val="692"/>
    <w:uiPriority w:val="0"/>
    <w:qFormat/>
    <w:rPr>
      <w:rFonts w:ascii="宋体" w:hAnsi="Calibri" w:eastAsia="宋体" w:cs="Times New Roman"/>
      <w:sz w:val="18"/>
      <w:szCs w:val="18"/>
    </w:rPr>
  </w:style>
  <w:style w:type="character" w:styleId="944" w:customStyle="1">
    <w:name w:val="批注文字 Char"/>
    <w:basedOn w:val="685"/>
    <w:link w:val="693"/>
    <w:uiPriority w:val="0"/>
    <w:qFormat/>
    <w:rPr>
      <w:rFonts w:ascii="Times New Roman" w:hAnsi="Times New Roman" w:eastAsia="宋体" w:cs="Times New Roman"/>
      <w:sz w:val="28"/>
      <w:szCs w:val="24"/>
    </w:rPr>
  </w:style>
  <w:style w:type="character" w:styleId="945" w:customStyle="1">
    <w:name w:val="正文文本 Char"/>
    <w:basedOn w:val="685"/>
    <w:link w:val="694"/>
    <w:uiPriority w:val="99"/>
    <w:qFormat/>
    <w:rPr>
      <w:rFonts w:ascii="Times New Roman" w:hAnsi="Times New Roman" w:eastAsia="宋体" w:cs="Times New Roman"/>
      <w:sz w:val="15"/>
      <w:szCs w:val="24"/>
    </w:rPr>
  </w:style>
  <w:style w:type="character" w:styleId="946" w:customStyle="1">
    <w:name w:val="正文文本缩进 Char"/>
    <w:basedOn w:val="685"/>
    <w:uiPriority w:val="0"/>
    <w:qFormat/>
    <w:rPr>
      <w:rFonts w:ascii="Times New Roman" w:hAnsi="Times New Roman" w:eastAsia="宋体" w:cs="Times New Roman"/>
      <w:szCs w:val="24"/>
    </w:rPr>
  </w:style>
  <w:style w:type="character" w:styleId="947" w:customStyle="1">
    <w:name w:val="正文文本缩进 Char1"/>
    <w:link w:val="687"/>
    <w:uiPriority w:val="0"/>
    <w:qFormat/>
    <w:rPr>
      <w:rFonts w:ascii="Times New Roman" w:hAnsi="Times New Roman" w:eastAsia="仿宋_GB2312" w:cs="Times New Roman"/>
      <w:sz w:val="28"/>
      <w:szCs w:val="24"/>
    </w:rPr>
  </w:style>
  <w:style w:type="character" w:styleId="948" w:customStyle="1">
    <w:name w:val="纯文本 Char"/>
    <w:basedOn w:val="685"/>
    <w:link w:val="701"/>
    <w:uiPriority w:val="0"/>
    <w:qFormat/>
    <w:rPr>
      <w:rFonts w:ascii="宋体" w:hAnsi="Courier New" w:eastAsia="宋体" w:cs="Times New Roman"/>
      <w:szCs w:val="21"/>
    </w:rPr>
  </w:style>
  <w:style w:type="character" w:styleId="949" w:customStyle="1">
    <w:name w:val="日期 Char"/>
    <w:basedOn w:val="685"/>
    <w:link w:val="704"/>
    <w:uiPriority w:val="0"/>
    <w:qFormat/>
    <w:rPr>
      <w:rFonts w:ascii="Century Schoolbook" w:hAnsi="Century Schoolbook" w:eastAsia="文鼎小标宋" w:cs="Times New Roman"/>
      <w:spacing w:val="-4"/>
      <w:sz w:val="23"/>
      <w:szCs w:val="20"/>
    </w:rPr>
  </w:style>
  <w:style w:type="character" w:styleId="950" w:customStyle="1">
    <w:name w:val="正文文本缩进 2 Char"/>
    <w:basedOn w:val="685"/>
    <w:link w:val="705"/>
    <w:uiPriority w:val="99"/>
    <w:qFormat/>
    <w:rPr>
      <w:rFonts w:ascii="仿宋_GB2312" w:hAnsi="Times New Roman" w:eastAsia="仿宋_GB2312" w:cs="Times New Roman"/>
      <w:sz w:val="24"/>
      <w:szCs w:val="24"/>
    </w:rPr>
  </w:style>
  <w:style w:type="character" w:styleId="951" w:customStyle="1">
    <w:name w:val="批注框文本 Char"/>
    <w:basedOn w:val="685"/>
    <w:link w:val="707"/>
    <w:uiPriority w:val="0"/>
    <w:semiHidden/>
    <w:qFormat/>
    <w:rPr>
      <w:rFonts w:ascii="Times New Roman" w:hAnsi="Times New Roman" w:eastAsia="宋体" w:cs="Times New Roman"/>
      <w:sz w:val="18"/>
      <w:szCs w:val="18"/>
    </w:rPr>
  </w:style>
  <w:style w:type="character" w:styleId="952" w:customStyle="1">
    <w:name w:val="副标题 Char"/>
    <w:basedOn w:val="685"/>
    <w:link w:val="713"/>
    <w:uiPriority w:val="11"/>
    <w:qFormat/>
    <w:rPr>
      <w:rFonts w:ascii="Cambria" w:hAnsi="Cambria" w:eastAsia="黑体" w:cs="Times New Roman"/>
      <w:b/>
      <w:bCs/>
      <w:szCs w:val="32"/>
    </w:rPr>
  </w:style>
  <w:style w:type="character" w:styleId="953" w:customStyle="1">
    <w:name w:val="脚注文本 Char"/>
    <w:basedOn w:val="685"/>
    <w:link w:val="714"/>
    <w:uiPriority w:val="0"/>
    <w:qFormat/>
    <w:rPr>
      <w:rFonts w:ascii="Times New Roman" w:hAnsi="Times New Roman" w:eastAsia="宋体" w:cs="Times New Roman"/>
      <w:sz w:val="18"/>
      <w:szCs w:val="18"/>
    </w:rPr>
  </w:style>
  <w:style w:type="character" w:styleId="954" w:customStyle="1">
    <w:name w:val="正文文本缩进 3 Char"/>
    <w:basedOn w:val="685"/>
    <w:link w:val="716"/>
    <w:uiPriority w:val="0"/>
    <w:qFormat/>
    <w:rPr>
      <w:rFonts w:ascii="仿宋_GB2312" w:hAnsi="宋体" w:eastAsia="仿宋_GB2312" w:cs="Times New Roman"/>
      <w:sz w:val="32"/>
      <w:szCs w:val="24"/>
    </w:rPr>
  </w:style>
  <w:style w:type="character" w:styleId="955" w:customStyle="1">
    <w:name w:val="标题 Char"/>
    <w:basedOn w:val="685"/>
    <w:link w:val="721"/>
    <w:uiPriority w:val="10"/>
    <w:qFormat/>
    <w:rPr>
      <w:rFonts w:ascii="Cambria" w:hAnsi="Cambria" w:eastAsia="宋体" w:cs="Times New Roman"/>
      <w:b/>
      <w:bCs/>
      <w:sz w:val="32"/>
      <w:szCs w:val="32"/>
    </w:rPr>
  </w:style>
  <w:style w:type="character" w:styleId="956" w:customStyle="1">
    <w:name w:val="批注主题 Char"/>
    <w:basedOn w:val="944"/>
    <w:link w:val="722"/>
    <w:uiPriority w:val="0"/>
    <w:qFormat/>
    <w:rPr>
      <w:rFonts w:ascii="Times New Roman" w:hAnsi="Times New Roman" w:eastAsia="宋体" w:cs="Times New Roman"/>
      <w:b/>
      <w:bCs/>
      <w:sz w:val="28"/>
      <w:szCs w:val="24"/>
    </w:rPr>
  </w:style>
  <w:style w:type="character" w:styleId="957" w:customStyle="1">
    <w:name w:val="正文首行缩进 Char"/>
    <w:basedOn w:val="945"/>
    <w:link w:val="723"/>
    <w:uiPriority w:val="0"/>
    <w:qFormat/>
    <w:rPr>
      <w:rFonts w:ascii="Times New Roman" w:hAnsi="Times New Roman" w:eastAsia="宋体" w:cs="Times New Roman"/>
      <w:sz w:val="15"/>
      <w:szCs w:val="24"/>
    </w:rPr>
  </w:style>
  <w:style w:type="character" w:styleId="958" w:customStyle="1">
    <w:name w:val="正文首行缩进 2 Char"/>
    <w:basedOn w:val="946"/>
    <w:link w:val="724"/>
    <w:uiPriority w:val="0"/>
    <w:qFormat/>
    <w:rPr>
      <w:rFonts w:ascii="Times New Roman" w:hAnsi="Times New Roman" w:eastAsia="宋体" w:cs="Times New Roman"/>
      <w:szCs w:val="24"/>
    </w:rPr>
  </w:style>
  <w:style w:type="character" w:styleId="959" w:customStyle="1">
    <w:name w:val="fontstyle21"/>
    <w:uiPriority w:val="0"/>
    <w:qFormat/>
    <w:rPr>
      <w:rFonts w:hint="eastAsia" w:ascii="宋体" w:hAnsi="宋体" w:eastAsia="宋体"/>
      <w:color w:val="000000"/>
      <w:sz w:val="28"/>
      <w:szCs w:val="28"/>
    </w:rPr>
  </w:style>
  <w:style w:type="character" w:styleId="960" w:customStyle="1">
    <w:name w:val="Z小节标题 Char"/>
    <w:link w:val="961"/>
    <w:uiPriority w:val="0"/>
    <w:qFormat/>
    <w:rPr>
      <w:rFonts w:eastAsia="黑体"/>
      <w:b/>
      <w:bCs/>
      <w:sz w:val="24"/>
      <w:szCs w:val="28"/>
    </w:rPr>
  </w:style>
  <w:style w:type="paragraph" w:styleId="961" w:customStyle="1">
    <w:name w:val="Z小节标题"/>
    <w:basedOn w:val="675"/>
    <w:next w:val="675"/>
    <w:link w:val="960"/>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62" w:customStyle="1">
    <w:name w:val="Z节标题 Char"/>
    <w:link w:val="963"/>
    <w:uiPriority w:val="0"/>
    <w:qFormat/>
    <w:rPr>
      <w:rFonts w:ascii="黑体" w:hAnsi="黑体" w:eastAsia="黑体"/>
      <w:bCs/>
      <w:sz w:val="28"/>
      <w:szCs w:val="28"/>
    </w:rPr>
  </w:style>
  <w:style w:type="paragraph" w:styleId="963" w:customStyle="1">
    <w:name w:val="Z节标题"/>
    <w:basedOn w:val="964"/>
    <w:link w:val="962"/>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964" w:customStyle="1">
    <w:name w:val="Z章标题"/>
    <w:basedOn w:val="676"/>
    <w:next w:val="676"/>
    <w:link w:val="96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65" w:customStyle="1">
    <w:name w:val="Z章标题 Char"/>
    <w:link w:val="964"/>
    <w:uiPriority w:val="0"/>
    <w:qFormat/>
    <w:rPr>
      <w:rFonts w:ascii="Times New Roman" w:hAnsi="Times New Roman" w:eastAsia="仿宋_GB2312" w:cs="Times New Roman"/>
      <w:b/>
      <w:bCs/>
      <w:sz w:val="44"/>
      <w:szCs w:val="32"/>
    </w:rPr>
  </w:style>
  <w:style w:type="character" w:styleId="966" w:customStyle="1">
    <w:name w:val="black11"/>
    <w:basedOn w:val="685"/>
    <w:uiPriority w:val="0"/>
    <w:qFormat/>
  </w:style>
  <w:style w:type="character" w:styleId="967" w:customStyle="1">
    <w:name w:val="样式 样式 正文文本 + 行距: 固定值 26 磅 + 首行缩进:  2 字符 Char"/>
    <w:link w:val="968"/>
    <w:uiPriority w:val="0"/>
    <w:qFormat/>
    <w:rPr>
      <w:rFonts w:ascii="宋体" w:hAnsi="宋体"/>
      <w:bCs/>
      <w:color w:val="000000"/>
      <w:sz w:val="24"/>
      <w:szCs w:val="24"/>
    </w:rPr>
  </w:style>
  <w:style w:type="paragraph" w:styleId="968" w:customStyle="1">
    <w:name w:val="样式 样式 正文文本 + 行距: 固定值 26 磅 + 首行缩进:  2 字符"/>
    <w:basedOn w:val="675"/>
    <w:link w:val="967"/>
    <w:uiPriority w:val="0"/>
    <w:qFormat/>
    <w:pPr>
      <w:ind w:firstLine="480"/>
    </w:pPr>
    <w:rPr>
      <w:rFonts w:ascii="宋体" w:hAnsi="宋体" w:eastAsiaTheme="minorEastAsia" w:cstheme="minorBidi"/>
      <w:bCs/>
      <w:color w:val="000000"/>
      <w:sz w:val="24"/>
    </w:rPr>
  </w:style>
  <w:style w:type="character" w:styleId="969" w:customStyle="1">
    <w:name w:val="Z表格标题 Char"/>
    <w:link w:val="970"/>
    <w:uiPriority w:val="0"/>
    <w:qFormat/>
    <w:rPr>
      <w:rFonts w:ascii="黑体" w:eastAsia="黑体"/>
      <w:sz w:val="28"/>
      <w:szCs w:val="28"/>
    </w:rPr>
  </w:style>
  <w:style w:type="paragraph" w:styleId="970" w:customStyle="1">
    <w:name w:val="Z表格标题"/>
    <w:basedOn w:val="675"/>
    <w:link w:val="969"/>
    <w:uiPriority w:val="0"/>
    <w:qFormat/>
    <w:pPr>
      <w:ind w:left="5102" w:hanging="1700"/>
      <w:jc w:val="center"/>
      <w:spacing w:line="360" w:lineRule="auto"/>
      <w:outlineLvl w:val="8"/>
    </w:pPr>
    <w:rPr>
      <w:rFonts w:ascii="黑体" w:eastAsia="黑体" w:hAnsiTheme="minorHAnsi" w:cstheme="minorBidi"/>
      <w:sz w:val="28"/>
      <w:szCs w:val="28"/>
    </w:rPr>
  </w:style>
  <w:style w:type="character" w:styleId="971" w:customStyle="1">
    <w:name w:val="fontstyle01"/>
    <w:uiPriority w:val="0"/>
    <w:qFormat/>
    <w:rPr>
      <w:rFonts w:hint="default" w:ascii="Times New Roman" w:hAnsi="Times New Roman" w:cs="Times New Roman"/>
      <w:color w:val="000000"/>
      <w:sz w:val="28"/>
      <w:szCs w:val="28"/>
    </w:rPr>
  </w:style>
  <w:style w:type="character" w:styleId="972" w:customStyle="1">
    <w:name w:val="正文文本缩进 2 字符"/>
    <w:uiPriority w:val="0"/>
    <w:qFormat/>
    <w:rPr>
      <w:rFonts w:ascii="Times New Roman" w:hAnsi="Times New Roman"/>
      <w:sz w:val="24"/>
      <w:szCs w:val="28"/>
    </w:rPr>
  </w:style>
  <w:style w:type="character" w:styleId="973" w:customStyle="1">
    <w:name w:val="表头 Char"/>
    <w:link w:val="974"/>
    <w:uiPriority w:val="0"/>
    <w:qFormat/>
    <w:rPr>
      <w:rFonts w:eastAsia="黑体"/>
      <w:sz w:val="24"/>
      <w:szCs w:val="28"/>
    </w:rPr>
  </w:style>
  <w:style w:type="paragraph" w:styleId="974" w:customStyle="1">
    <w:name w:val="表头"/>
    <w:basedOn w:val="675"/>
    <w:link w:val="973"/>
    <w:uiPriority w:val="0"/>
    <w:qFormat/>
    <w:pPr>
      <w:jc w:val="center"/>
      <w:spacing w:line="440" w:lineRule="exact"/>
    </w:pPr>
    <w:rPr>
      <w:rFonts w:eastAsia="黑体" w:asciiTheme="minorHAnsi" w:hAnsiTheme="minorHAnsi" w:cstheme="minorBidi"/>
      <w:sz w:val="24"/>
      <w:szCs w:val="28"/>
    </w:rPr>
  </w:style>
  <w:style w:type="character" w:styleId="975" w:customStyle="1">
    <w:name w:val="fontstyle31"/>
    <w:uiPriority w:val="0"/>
    <w:qFormat/>
    <w:rPr>
      <w:rFonts w:hint="default" w:ascii="TimesNewRoman" w:hAnsi="TimesNewRoman"/>
      <w:color w:val="000000"/>
      <w:sz w:val="28"/>
      <w:szCs w:val="28"/>
    </w:rPr>
  </w:style>
  <w:style w:type="character" w:styleId="976" w:customStyle="1">
    <w:name w:val="样式 Z表格标题 + (西文) 宋体 Char"/>
    <w:uiPriority w:val="0"/>
    <w:qFormat/>
    <w:rPr>
      <w:rFonts w:hint="eastAsia" w:ascii="宋体" w:hAnsi="宋体" w:eastAsia="仿宋_GB2312"/>
      <w:b/>
      <w:sz w:val="28"/>
      <w:lang w:val="en-US" w:eastAsia="zh-CN" w:bidi="ar-SA"/>
    </w:rPr>
  </w:style>
  <w:style w:type="character" w:styleId="977" w:customStyle="1">
    <w:name w:val="标题2 Char"/>
    <w:link w:val="978"/>
    <w:uiPriority w:val="0"/>
    <w:qFormat/>
    <w:rPr>
      <w:rFonts w:eastAsia="方正楷体_GBK"/>
      <w:sz w:val="32"/>
    </w:rPr>
  </w:style>
  <w:style w:type="paragraph" w:styleId="978" w:customStyle="1">
    <w:name w:val="标题2"/>
    <w:basedOn w:val="675"/>
    <w:next w:val="675"/>
    <w:link w:val="977"/>
    <w:uiPriority w:val="0"/>
    <w:qFormat/>
    <w:pPr>
      <w:ind w:firstLine="200"/>
      <w:jc w:val="center"/>
      <w:spacing w:line="590" w:lineRule="atLeast"/>
    </w:pPr>
    <w:rPr>
      <w:rFonts w:eastAsia="方正楷体_GBK" w:asciiTheme="minorHAnsi" w:hAnsiTheme="minorHAnsi" w:cstheme="minorBidi"/>
      <w:sz w:val="32"/>
      <w:szCs w:val="22"/>
    </w:rPr>
  </w:style>
  <w:style w:type="character" w:styleId="979" w:customStyle="1">
    <w:name w:val="正文1 Char Char"/>
    <w:link w:val="734"/>
    <w:uiPriority w:val="0"/>
    <w:qFormat/>
    <w:rPr>
      <w:sz w:val="28"/>
    </w:rPr>
  </w:style>
  <w:style w:type="character" w:styleId="980" w:customStyle="1">
    <w:name w:val="标题 1 Char1"/>
    <w:uiPriority w:val="0"/>
    <w:qFormat/>
    <w:rPr>
      <w:rFonts w:eastAsia="黑体"/>
      <w:sz w:val="32"/>
    </w:rPr>
  </w:style>
  <w:style w:type="character" w:styleId="981" w:customStyle="1">
    <w:name w:val="日期 字符"/>
    <w:uiPriority w:val="0"/>
    <w:qFormat/>
    <w:rPr>
      <w:rFonts w:ascii="Times New Roman" w:hAnsi="Times New Roman" w:eastAsia="宋体" w:cs="Times New Roman"/>
      <w:szCs w:val="24"/>
    </w:rPr>
  </w:style>
  <w:style w:type="character" w:styleId="982" w:customStyle="1">
    <w:name w:val="页脚 字符"/>
    <w:uiPriority w:val="99"/>
    <w:qFormat/>
  </w:style>
  <w:style w:type="character" w:styleId="983" w:customStyle="1">
    <w:name w:val="纯文本 字符"/>
    <w:uiPriority w:val="0"/>
    <w:qFormat/>
    <w:rPr>
      <w:rFonts w:ascii="Times New Roman" w:hAnsi="Times New Roman" w:eastAsia="宋体" w:cs="Times New Roman"/>
      <w:sz w:val="24"/>
      <w:szCs w:val="28"/>
    </w:rPr>
  </w:style>
  <w:style w:type="character" w:styleId="984" w:customStyle="1">
    <w:name w:val="font521"/>
    <w:uiPriority w:val="0"/>
    <w:qFormat/>
    <w:rPr>
      <w:rFonts w:hint="eastAsia" w:ascii="宋体" w:hAnsi="宋体" w:eastAsia="宋体"/>
      <w:b/>
      <w:bCs/>
      <w:color w:val="000000"/>
      <w:sz w:val="22"/>
      <w:szCs w:val="22"/>
      <w:u w:val="none"/>
    </w:rPr>
  </w:style>
  <w:style w:type="character" w:styleId="985" w:customStyle="1">
    <w:name w:val="明显参考1"/>
    <w:uiPriority w:val="32"/>
    <w:qFormat/>
    <w:rPr>
      <w:b/>
      <w:bCs/>
      <w:smallCaps/>
      <w:color w:val="c0504d"/>
      <w:spacing w:val="5"/>
      <w:u w:val="single"/>
    </w:rPr>
  </w:style>
  <w:style w:type="character" w:styleId="986" w:customStyle="1">
    <w:name w:val="本项目正文 Char"/>
    <w:link w:val="987"/>
    <w:uiPriority w:val="0"/>
    <w:qFormat/>
    <w:rPr>
      <w:bCs/>
      <w:sz w:val="28"/>
      <w:szCs w:val="44"/>
    </w:rPr>
  </w:style>
  <w:style w:type="paragraph" w:styleId="987" w:customStyle="1">
    <w:name w:val="本项目正文"/>
    <w:link w:val="986"/>
    <w:uiPriority w:val="0"/>
    <w:qFormat/>
    <w:pPr>
      <w:ind w:firstLine="200"/>
      <w:jc w:val="both"/>
      <w:spacing w:line="360" w:lineRule="auto"/>
    </w:pPr>
    <w:rPr>
      <w:rFonts w:asciiTheme="minorHAnsi" w:hAnsiTheme="minorHAnsi" w:eastAsiaTheme="minorEastAsia" w:cstheme="minorBidi"/>
      <w:bCs/>
      <w:sz w:val="28"/>
      <w:szCs w:val="44"/>
      <w:lang w:val="en-US" w:eastAsia="zh-CN" w:bidi="ar-SA"/>
    </w:rPr>
  </w:style>
  <w:style w:type="character" w:styleId="988" w:customStyle="1">
    <w:name w:val="fontstyle11"/>
    <w:uiPriority w:val="0"/>
    <w:qFormat/>
    <w:rPr>
      <w:rFonts w:hint="eastAsia" w:ascii="宋体" w:hAnsi="宋体" w:eastAsia="宋体"/>
      <w:color w:val="000000"/>
      <w:sz w:val="28"/>
      <w:szCs w:val="28"/>
    </w:rPr>
  </w:style>
  <w:style w:type="character" w:styleId="989" w:customStyle="1">
    <w:name w:val="正文（有空格） Char"/>
    <w:link w:val="990"/>
    <w:uiPriority w:val="0"/>
    <w:qFormat/>
    <w:rPr>
      <w:sz w:val="28"/>
      <w:szCs w:val="28"/>
    </w:rPr>
  </w:style>
  <w:style w:type="paragraph" w:styleId="990" w:customStyle="1">
    <w:name w:val="正文（有空格）"/>
    <w:link w:val="989"/>
    <w:uiPriority w:val="0"/>
    <w:qFormat/>
    <w:pPr>
      <w:ind w:firstLine="200"/>
      <w:spacing w:line="360" w:lineRule="auto"/>
      <w:widowControl w:val="off"/>
    </w:pPr>
    <w:rPr>
      <w:rFonts w:asciiTheme="minorHAnsi" w:hAnsiTheme="minorHAnsi" w:eastAsiaTheme="minorEastAsia" w:cstheme="minorBidi"/>
      <w:sz w:val="28"/>
      <w:szCs w:val="28"/>
      <w:lang w:val="en-US" w:eastAsia="zh-CN" w:bidi="ar-SA"/>
    </w:rPr>
  </w:style>
  <w:style w:type="character" w:styleId="991" w:customStyle="1">
    <w:name w:val="表格内文字 Char1"/>
    <w:link w:val="992"/>
    <w:uiPriority w:val="0"/>
    <w:qFormat/>
    <w:rPr>
      <w:sz w:val="24"/>
    </w:rPr>
  </w:style>
  <w:style w:type="paragraph" w:styleId="992" w:customStyle="1">
    <w:name w:val="表格内文字"/>
    <w:basedOn w:val="675"/>
    <w:link w:val="991"/>
    <w:uiPriority w:val="0"/>
    <w:qFormat/>
    <w:pPr>
      <w:jc w:val="center"/>
      <w:spacing w:before="40" w:line="320" w:lineRule="exact"/>
    </w:pPr>
    <w:rPr>
      <w:rFonts w:asciiTheme="minorHAnsi" w:hAnsiTheme="minorHAnsi" w:eastAsiaTheme="minorEastAsia" w:cstheme="minorBidi"/>
      <w:sz w:val="24"/>
      <w:szCs w:val="22"/>
    </w:rPr>
  </w:style>
  <w:style w:type="character" w:styleId="993" w:customStyle="1">
    <w:name w:val="font531"/>
    <w:uiPriority w:val="0"/>
    <w:qFormat/>
    <w:rPr>
      <w:rFonts w:hint="eastAsia" w:ascii="宋体" w:hAnsi="宋体" w:eastAsia="宋体"/>
      <w:color w:val="000000"/>
      <w:sz w:val="22"/>
      <w:szCs w:val="22"/>
      <w:u w:val="none"/>
    </w:rPr>
  </w:style>
  <w:style w:type="character" w:styleId="994" w:customStyle="1">
    <w:name w:val="页眉 Char1"/>
    <w:uiPriority w:val="0"/>
    <w:qFormat/>
    <w:rPr>
      <w:rFonts w:ascii="宋体" w:hAnsi="宋体"/>
      <w:sz w:val="18"/>
    </w:rPr>
  </w:style>
  <w:style w:type="paragraph" w:styleId="995" w:customStyle="1">
    <w:name w:val="xl93"/>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标题 21"/>
    <w:basedOn w:val="675"/>
    <w:uiPriority w:val="0"/>
    <w:qFormat/>
    <w:pPr>
      <w:ind w:left="140" w:firstLine="200"/>
      <w:jc w:val="left"/>
      <w:outlineLvl w:val="1"/>
    </w:pPr>
    <w:rPr>
      <w:rFonts w:ascii="微软雅黑" w:eastAsia="微软雅黑" w:cs="微软雅黑"/>
      <w:b/>
      <w:bCs/>
      <w:sz w:val="24"/>
    </w:rPr>
  </w:style>
  <w:style w:type="paragraph" w:styleId="997" w:customStyle="1">
    <w:name w:val="样式 正文（有空格） + 两端对齐 首行缩进:  2 字符"/>
    <w:basedOn w:val="990"/>
    <w:uiPriority w:val="0"/>
    <w:qFormat/>
    <w:pPr>
      <w:ind w:firstLine="504"/>
      <w:jc w:val="both"/>
    </w:pPr>
    <w:rPr>
      <w:rFonts w:cs="宋体"/>
      <w:sz w:val="24"/>
      <w:szCs w:val="20"/>
    </w:rPr>
  </w:style>
  <w:style w:type="paragraph" w:styleId="998" w:customStyle="1">
    <w:name w:val="样式 正文（有空格） + 黑色 两端对齐 首行缩进:  2 字符"/>
    <w:basedOn w:val="675"/>
    <w:uiPriority w:val="0"/>
    <w:qFormat/>
    <w:pPr>
      <w:ind w:firstLine="504"/>
      <w:jc w:val="left"/>
      <w:spacing w:line="360" w:lineRule="auto"/>
    </w:pPr>
    <w:rPr>
      <w:rFonts w:cs="宋体"/>
      <w:color w:val="000000"/>
      <w:sz w:val="24"/>
      <w:szCs w:val="20"/>
    </w:rPr>
  </w:style>
  <w:style w:type="paragraph" w:styleId="999" w:customStyle="1">
    <w:name w:val="black1"/>
    <w:basedOn w:val="675"/>
    <w:uiPriority w:val="0"/>
    <w:qFormat/>
    <w:pPr>
      <w:jc w:val="left"/>
      <w:spacing w:before="100" w:beforeAutospacing="1" w:after="100" w:afterAutospacing="1"/>
      <w:widowControl/>
    </w:pPr>
    <w:rPr>
      <w:rFonts w:ascii="宋体" w:hAnsi="宋体"/>
      <w:sz w:val="24"/>
    </w:rPr>
  </w:style>
  <w:style w:type="paragraph" w:styleId="1000"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01" w:customStyle="1">
    <w:name w:val="xl10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7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3">
    <w:name w:val="List Paragraph"/>
    <w:basedOn w:val="675"/>
    <w:link w:val="1004"/>
    <w:uiPriority w:val="34"/>
    <w:qFormat/>
    <w:pPr>
      <w:ind w:firstLine="420"/>
      <w:jc w:val="left"/>
      <w:spacing w:line="360" w:lineRule="auto"/>
      <w:widowControl/>
    </w:pPr>
    <w:rPr>
      <w:rFonts w:ascii="宋体" w:hAnsi="宋体" w:cs="宋体"/>
      <w:sz w:val="24"/>
    </w:rPr>
  </w:style>
  <w:style w:type="character" w:styleId="1004" w:customStyle="1">
    <w:name w:val="列出段落 Char"/>
    <w:link w:val="1003"/>
    <w:uiPriority w:val="34"/>
    <w:qFormat/>
    <w:rPr>
      <w:rFonts w:ascii="宋体" w:hAnsi="宋体" w:eastAsia="宋体" w:cs="宋体"/>
      <w:sz w:val="24"/>
      <w:szCs w:val="24"/>
    </w:rPr>
  </w:style>
  <w:style w:type="paragraph" w:styleId="1005" w:customStyle="1">
    <w:name w:val="xl95"/>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修订1"/>
    <w:uiPriority w:val="99"/>
    <w:semiHidden/>
    <w:qFormat/>
    <w:rPr>
      <w:rFonts w:ascii="Times New Roman" w:hAnsi="Times New Roman" w:eastAsia="宋体" w:cs="Times New Roman"/>
      <w:sz w:val="24"/>
      <w:szCs w:val="28"/>
      <w:lang w:val="en-US" w:eastAsia="zh-CN" w:bidi="ar-SA"/>
    </w:rPr>
  </w:style>
  <w:style w:type="paragraph" w:styleId="1007" w:customStyle="1">
    <w:name w:val="TOC 标题111"/>
    <w:basedOn w:val="676"/>
    <w:next w:val="675"/>
    <w:uiPriority w:val="39"/>
    <w:qFormat/>
    <w:pPr>
      <w:jc w:val="left"/>
      <w:spacing w:before="480" w:line="276" w:lineRule="auto"/>
      <w:widowControl/>
      <w:outlineLvl w:val="9"/>
    </w:pPr>
    <w:rPr>
      <w:rFonts w:ascii="Cambria" w:hAnsi="Cambria" w:eastAsia="宋体"/>
      <w:bCs/>
      <w:color w:val="365f91"/>
      <w:sz w:val="28"/>
      <w:szCs w:val="28"/>
    </w:rPr>
  </w:style>
  <w:style w:type="paragraph" w:styleId="1008" w:customStyle="1">
    <w:name w:val="图编号"/>
    <w:basedOn w:val="694"/>
    <w:uiPriority w:val="0"/>
    <w:qFormat/>
    <w:pPr>
      <w:ind w:firstLine="200"/>
      <w:jc w:val="center"/>
      <w:spacing w:after="0" w:line="360" w:lineRule="auto"/>
      <w:tabs>
        <w:tab w:val="left" w:pos="560" w:leader="none"/>
        <w:tab w:val="left" w:pos="4123" w:leader="none"/>
      </w:tabs>
    </w:pPr>
    <w:rPr>
      <w:b/>
      <w:sz w:val="28"/>
      <w:szCs w:val="28"/>
    </w:rPr>
  </w:style>
  <w:style w:type="paragraph" w:styleId="1009" w:customStyle="1">
    <w:name w:val="xl80"/>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xl7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1" w:customStyle="1">
    <w:name w:val="xl103"/>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2" w:customStyle="1">
    <w:name w:val="表格内文字1"/>
    <w:basedOn w:val="675"/>
    <w:uiPriority w:val="0"/>
    <w:qFormat/>
    <w:pPr>
      <w:jc w:val="center"/>
      <w:spacing w:line="240" w:lineRule="exact"/>
    </w:pPr>
    <w:rPr>
      <w:spacing w:val="6"/>
      <w:sz w:val="28"/>
      <w:szCs w:val="21"/>
    </w:rPr>
  </w:style>
  <w:style w:type="paragraph" w:styleId="1013" w:customStyle="1">
    <w:name w:val="样式 正文文本缩进 2 + Times New Roman 首行缩进:  1.06 厘米 行距: 固定值 30 磅"/>
    <w:basedOn w:val="705"/>
    <w:uiPriority w:val="0"/>
    <w:qFormat/>
    <w:pPr>
      <w:ind w:firstLine="601"/>
      <w:spacing w:line="540" w:lineRule="exact"/>
    </w:pPr>
    <w:rPr>
      <w:rFonts w:ascii="Times New Roman" w:eastAsia="宋体"/>
      <w:sz w:val="28"/>
      <w:szCs w:val="28"/>
    </w:rPr>
  </w:style>
  <w:style w:type="paragraph" w:styleId="1014" w:customStyle="1">
    <w:name w:val="xl94"/>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5" w:customStyle="1">
    <w:name w:val="样式 首行缩进:  2 字符1"/>
    <w:basedOn w:val="675"/>
    <w:uiPriority w:val="0"/>
    <w:qFormat/>
    <w:pPr>
      <w:ind w:firstLine="200"/>
      <w:spacing w:line="312" w:lineRule="auto"/>
    </w:pPr>
    <w:rPr>
      <w:rFonts w:cs="宋体"/>
      <w:sz w:val="24"/>
    </w:rPr>
  </w:style>
  <w:style w:type="paragraph" w:styleId="1016" w:customStyle="1">
    <w:name w:val="xl86"/>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7" w:customStyle="1">
    <w:name w:val="TOC 标题11"/>
    <w:basedOn w:val="676"/>
    <w:next w:val="675"/>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018" w:customStyle="1">
    <w:name w:val="！表格"/>
    <w:basedOn w:val="675"/>
    <w:uiPriority w:val="0"/>
    <w:qFormat/>
    <w:pPr>
      <w:jc w:val="center"/>
    </w:pPr>
    <w:rPr>
      <w:rFonts w:eastAsia="Times New Roman"/>
      <w:sz w:val="24"/>
    </w:rPr>
  </w:style>
  <w:style w:type="paragraph" w:styleId="1019" w:customStyle="1">
    <w:name w:val="xl7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0" w:customStyle="1">
    <w:name w:val="xl98"/>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Char Char Char Char"/>
    <w:basedOn w:val="675"/>
    <w:next w:val="675"/>
    <w:uiPriority w:val="0"/>
    <w:qFormat/>
    <w:pPr>
      <w:ind w:firstLine="200"/>
      <w:jc w:val="left"/>
      <w:spacing w:line="360" w:lineRule="auto"/>
    </w:pPr>
    <w:rPr>
      <w:rFonts w:ascii="宋体" w:hAnsi="宋体" w:cs="宋体"/>
      <w:sz w:val="24"/>
    </w:rPr>
  </w:style>
  <w:style w:type="paragraph" w:styleId="1022" w:customStyle="1">
    <w:name w:val="xl88"/>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3" w:customStyle="1">
    <w:name w:val="xl100"/>
    <w:basedOn w:val="675"/>
    <w:uiPriority w:val="0"/>
    <w:qFormat/>
    <w:pPr>
      <w:jc w:val="left"/>
      <w:spacing w:before="100" w:beforeAutospacing="1" w:after="100" w:afterAutospacing="1"/>
      <w:widowControl/>
    </w:pPr>
    <w:rPr>
      <w:rFonts w:ascii="Courier" w:hAnsi="Courier" w:cs="宋体"/>
      <w:b/>
      <w:bCs/>
      <w:sz w:val="24"/>
    </w:rPr>
  </w:style>
  <w:style w:type="paragraph" w:styleId="1024" w:customStyle="1">
    <w:name w:val="xl8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8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6" w:customStyle="1">
    <w:name w:val="标题4"/>
    <w:basedOn w:val="675"/>
    <w:uiPriority w:val="0"/>
    <w:qFormat/>
    <w:pPr>
      <w:ind w:firstLine="532"/>
      <w:spacing w:line="360" w:lineRule="auto"/>
    </w:pPr>
    <w:rPr>
      <w:sz w:val="28"/>
      <w:szCs w:val="20"/>
    </w:rPr>
  </w:style>
  <w:style w:type="paragraph" w:styleId="1027" w:customStyle="1">
    <w:name w:val="表格文字"/>
    <w:basedOn w:val="675"/>
    <w:next w:val="701"/>
    <w:uiPriority w:val="0"/>
    <w:qFormat/>
    <w:pPr>
      <w:ind w:firstLine="200"/>
      <w:jc w:val="left"/>
    </w:pPr>
    <w:rPr>
      <w:rFonts w:ascii="宋体" w:hAnsi="Courier New"/>
      <w:szCs w:val="20"/>
    </w:rPr>
  </w:style>
  <w:style w:type="paragraph" w:styleId="1028" w:customStyle="1">
    <w:name w:val="xl91"/>
    <w:basedOn w:val="675"/>
    <w:uiPriority w:val="0"/>
    <w:qFormat/>
    <w:pPr>
      <w:jc w:val="left"/>
      <w:spacing w:before="100" w:beforeAutospacing="1" w:after="100" w:afterAutospacing="1"/>
      <w:widowControl/>
    </w:pPr>
    <w:rPr>
      <w:rFonts w:ascii="宋体" w:hAnsi="宋体" w:cs="宋体"/>
      <w:b/>
      <w:bCs/>
      <w:color w:val="ff0000"/>
      <w:sz w:val="20"/>
      <w:szCs w:val="20"/>
    </w:rPr>
  </w:style>
  <w:style w:type="paragraph" w:styleId="1029"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030" w:customStyle="1">
    <w:name w:val="Z小小节标题"/>
    <w:basedOn w:val="961"/>
    <w:uiPriority w:val="0"/>
    <w:qFormat/>
    <w:pPr>
      <w:ind w:left="1744" w:hanging="1080"/>
      <w:tabs>
        <w:tab w:val="left" w:pos="360" w:leader="none"/>
      </w:tabs>
      <w:outlineLvl w:val="3"/>
    </w:pPr>
    <w:rPr>
      <w:rFonts w:eastAsia="仿宋_GB2312"/>
    </w:rPr>
  </w:style>
  <w:style w:type="paragraph" w:styleId="1031" w:customStyle="1">
    <w:name w:val="xl155"/>
    <w:basedOn w:val="675"/>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2" w:customStyle="1">
    <w:name w:val="xl96"/>
    <w:basedOn w:val="675"/>
    <w:uiPriority w:val="0"/>
    <w:qFormat/>
    <w:pPr>
      <w:jc w:val="left"/>
      <w:spacing w:before="100" w:beforeAutospacing="1" w:after="100" w:afterAutospacing="1"/>
      <w:widowControl/>
    </w:pPr>
    <w:rPr>
      <w:rFonts w:ascii="宋体" w:hAnsi="宋体" w:cs="宋体"/>
      <w:color w:val="ff0000"/>
      <w:sz w:val="20"/>
      <w:szCs w:val="20"/>
    </w:rPr>
  </w:style>
  <w:style w:type="paragraph" w:styleId="1033" w:customStyle="1">
    <w:name w:val="xl97"/>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Table Paragraph"/>
    <w:basedOn w:val="675"/>
    <w:uiPriority w:val="1"/>
    <w:qFormat/>
    <w:pPr>
      <w:ind w:firstLine="200"/>
      <w:jc w:val="left"/>
    </w:pPr>
    <w:rPr>
      <w:sz w:val="24"/>
    </w:rPr>
  </w:style>
  <w:style w:type="paragraph" w:styleId="1035" w:customStyle="1">
    <w:name w:val="样式7"/>
    <w:basedOn w:val="675"/>
    <w:uiPriority w:val="0"/>
    <w:qFormat/>
    <w:pPr>
      <w:jc w:val="center"/>
    </w:pPr>
    <w:rPr>
      <w:sz w:val="18"/>
    </w:rPr>
  </w:style>
  <w:style w:type="paragraph" w:styleId="1036" w:customStyle="1">
    <w:name w:val="样式 四号 黑色 行距: 1.5 倍行距1"/>
    <w:basedOn w:val="675"/>
    <w:uiPriority w:val="0"/>
    <w:qFormat/>
    <w:pPr>
      <w:ind w:firstLine="200"/>
      <w:jc w:val="left"/>
      <w:spacing w:line="360" w:lineRule="auto"/>
    </w:pPr>
    <w:rPr>
      <w:rFonts w:cs="宋体"/>
      <w:color w:val="000000"/>
      <w:sz w:val="24"/>
      <w:szCs w:val="20"/>
    </w:rPr>
  </w:style>
  <w:style w:type="paragraph" w:styleId="1037" w:customStyle="1">
    <w:name w:val="xl7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font5"/>
    <w:basedOn w:val="675"/>
    <w:uiPriority w:val="0"/>
    <w:qFormat/>
    <w:pPr>
      <w:jc w:val="left"/>
      <w:spacing w:before="100" w:beforeAutospacing="1" w:after="100" w:afterAutospacing="1"/>
      <w:widowControl/>
    </w:pPr>
    <w:rPr>
      <w:rFonts w:ascii="宋体" w:hAnsi="宋体" w:cs="宋体"/>
      <w:sz w:val="18"/>
      <w:szCs w:val="18"/>
    </w:rPr>
  </w:style>
  <w:style w:type="paragraph" w:styleId="1039" w:customStyle="1">
    <w:name w:val="样式 样式 四号 黑色 行距: 1.5 倍行距2 + 首行缩进:  2 字符"/>
    <w:basedOn w:val="675"/>
    <w:uiPriority w:val="0"/>
    <w:qFormat/>
    <w:pPr>
      <w:ind w:firstLine="446"/>
      <w:jc w:val="left"/>
      <w:spacing w:line="360" w:lineRule="auto"/>
    </w:pPr>
    <w:rPr>
      <w:rFonts w:cs="宋体"/>
      <w:color w:val="000000"/>
      <w:sz w:val="24"/>
      <w:szCs w:val="20"/>
    </w:rPr>
  </w:style>
  <w:style w:type="paragraph" w:styleId="1040" w:customStyle="1">
    <w:name w:val="xl101"/>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1" w:customStyle="1">
    <w:name w:val="列出段落1"/>
    <w:basedOn w:val="675"/>
    <w:uiPriority w:val="34"/>
    <w:qFormat/>
    <w:pPr>
      <w:ind w:firstLine="420"/>
      <w:jc w:val="left"/>
      <w:spacing w:line="360" w:lineRule="auto"/>
    </w:pPr>
    <w:rPr>
      <w:sz w:val="28"/>
    </w:rPr>
  </w:style>
  <w:style w:type="paragraph" w:styleId="1042" w:customStyle="1">
    <w:name w:val="xl8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3" w:customStyle="1">
    <w:name w:val="表标题"/>
    <w:basedOn w:val="675"/>
    <w:uiPriority w:val="0"/>
    <w:qFormat/>
    <w:pPr>
      <w:ind w:firstLine="200"/>
      <w:jc w:val="left"/>
      <w:spacing w:line="360" w:lineRule="auto"/>
    </w:pPr>
    <w:rPr>
      <w:rFonts w:ascii="黑体" w:hAnsi="宋体" w:eastAsia="黑体"/>
      <w:sz w:val="28"/>
    </w:rPr>
  </w:style>
  <w:style w:type="paragraph" w:styleId="1044" w:customStyle="1">
    <w:name w:val="reader-word-layer"/>
    <w:basedOn w:val="675"/>
    <w:uiPriority w:val="0"/>
    <w:qFormat/>
    <w:pPr>
      <w:jc w:val="left"/>
      <w:spacing w:before="100" w:beforeAutospacing="1" w:after="100" w:afterAutospacing="1" w:line="360" w:lineRule="auto"/>
      <w:widowControl/>
    </w:pPr>
    <w:rPr>
      <w:rFonts w:ascii="宋体" w:hAnsi="宋体" w:cs="宋体"/>
      <w:sz w:val="24"/>
    </w:rPr>
  </w:style>
  <w:style w:type="paragraph" w:styleId="1045" w:customStyle="1">
    <w:name w:val="xl77"/>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编号1"/>
    <w:basedOn w:val="675"/>
    <w:uiPriority w:val="0"/>
    <w:qFormat/>
    <w:pPr>
      <w:ind w:left="340" w:hanging="340"/>
      <w:spacing w:line="360" w:lineRule="auto"/>
      <w:tabs>
        <w:tab w:val="left" w:pos="360" w:leader="none"/>
      </w:tabs>
    </w:pPr>
    <w:rPr>
      <w:sz w:val="24"/>
      <w:szCs w:val="20"/>
    </w:rPr>
  </w:style>
  <w:style w:type="paragraph" w:styleId="1047" w:customStyle="1">
    <w:name w:val="xl85"/>
    <w:basedOn w:val="675"/>
    <w:uiPriority w:val="0"/>
    <w:qFormat/>
    <w:pPr>
      <w:jc w:val="left"/>
      <w:spacing w:before="100" w:beforeAutospacing="1" w:after="100" w:afterAutospacing="1"/>
      <w:widowControl/>
    </w:pPr>
    <w:rPr>
      <w:rFonts w:ascii="宋体" w:hAnsi="宋体" w:cs="宋体"/>
      <w:b/>
      <w:bCs/>
      <w:sz w:val="20"/>
      <w:szCs w:val="20"/>
    </w:rPr>
  </w:style>
  <w:style w:type="paragraph" w:styleId="1048" w:customStyle="1">
    <w:name w:val="xl24"/>
    <w:basedOn w:val="675"/>
    <w:uiPriority w:val="0"/>
    <w:qFormat/>
    <w:pPr>
      <w:jc w:val="center"/>
      <w:spacing w:before="100" w:beforeAutospacing="1" w:after="100" w:afterAutospacing="1"/>
      <w:widowControl/>
    </w:pPr>
    <w:rPr>
      <w:rFonts w:ascii="宋体" w:hAnsi="宋体"/>
      <w:sz w:val="24"/>
    </w:rPr>
  </w:style>
  <w:style w:type="paragraph" w:styleId="1049" w:customStyle="1">
    <w:name w:val="xl54"/>
    <w:basedOn w:val="675"/>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50" w:customStyle="1">
    <w:name w:val="xl87"/>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1" w:customStyle="1">
    <w:name w:val="W122"/>
    <w:basedOn w:val="67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52" w:customStyle="1">
    <w:name w:val="xl83"/>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xl70"/>
    <w:basedOn w:val="675"/>
    <w:uiPriority w:val="0"/>
    <w:qFormat/>
    <w:pPr>
      <w:jc w:val="left"/>
      <w:spacing w:before="100" w:beforeAutospacing="1" w:after="100" w:afterAutospacing="1"/>
      <w:widowControl/>
    </w:pPr>
    <w:rPr>
      <w:rFonts w:ascii="Courier" w:hAnsi="Courier" w:cs="宋体"/>
      <w:sz w:val="24"/>
    </w:rPr>
  </w:style>
  <w:style w:type="paragraph" w:styleId="1054" w:customStyle="1">
    <w:name w:val="xl102"/>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5" w:customStyle="1">
    <w:name w:val="xl73"/>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xl104"/>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7" w:customStyle="1">
    <w:name w:val="xl75"/>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xl7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xl78"/>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0" w:customStyle="1">
    <w:name w:val="xl8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1" w:customStyle="1">
    <w:name w:val="xl90"/>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92"/>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xl106"/>
    <w:basedOn w:val="6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4" w:customStyle="1">
    <w:name w:val="xl99"/>
    <w:basedOn w:val="67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5" w:customStyle="1">
    <w:name w:val="xl105"/>
    <w:basedOn w:val="6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三级标题"/>
    <w:basedOn w:val="678"/>
    <w:next w:val="675"/>
    <w:uiPriority w:val="0"/>
    <w:qFormat/>
    <w:pPr>
      <w:spacing w:before="0" w:after="0" w:line="240" w:lineRule="auto"/>
      <w:tabs>
        <w:tab w:val="left" w:pos="900" w:leader="none"/>
      </w:tabs>
    </w:pPr>
    <w:rPr>
      <w:rFonts w:eastAsia="黑体"/>
      <w:b w:val="0"/>
      <w:sz w:val="28"/>
      <w:szCs w:val="28"/>
    </w:rPr>
  </w:style>
  <w:style w:type="table" w:styleId="1067" w:customStyle="1">
    <w:name w:val="Table Normal"/>
    <w:uiPriority w:val="2"/>
    <w:unhideWhenUsed/>
    <w:qFormat/>
    <w:pPr>
      <w:spacing w:line="360" w:lineRule="auto"/>
      <w:widowControl w:val="off"/>
    </w:pPr>
    <w:rPr>
      <w:rFonts w:ascii="Calibri" w:hAnsi="Calibri"/>
      <w:sz w:val="22"/>
      <w:lang w:eastAsia="en-US"/>
    </w:rPr>
    <w:tblPr>
      <w:tblCellMar>
        <w:left w:w="0" w:type="dxa"/>
        <w:top w:w="0" w:type="dxa"/>
        <w:right w:w="0" w:type="dxa"/>
        <w:bottom w:w="0" w:type="dxa"/>
      </w:tblCellMar>
    </w:tblPr>
  </w:style>
  <w:style w:type="paragraph" w:styleId="1068" w:customStyle="1">
    <w:name w:val="普通(网站)1"/>
    <w:basedOn w:val="1069"/>
    <w:uiPriority w:val="0"/>
    <w:qFormat/>
    <w:pPr>
      <w:jc w:val="left"/>
      <w:spacing w:before="100" w:beforeAutospacing="1" w:after="100" w:afterAutospacing="1"/>
      <w:widowControl/>
    </w:pPr>
    <w:rPr>
      <w:rFonts w:ascii="宋体" w:hAnsi="宋体" w:cs="宋体"/>
      <w:sz w:val="24"/>
      <w:szCs w:val="20"/>
      <w:lang w:val="zh-CN" w:bidi="zh-CN"/>
    </w:rPr>
  </w:style>
  <w:style w:type="paragraph" w:styleId="1069" w:customStyle="1">
    <w:name w:val="正文11"/>
    <w:next w:val="107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070" w:customStyle="1">
    <w:name w:val="正文文本1"/>
    <w:basedOn w:val="734"/>
    <w:next w:val="1069"/>
    <w:uiPriority w:val="0"/>
    <w:qFormat/>
    <w:pPr>
      <w:spacing w:after="120"/>
    </w:pPr>
    <w:rPr>
      <w:rFonts w:ascii="Calibri" w:hAnsi="Calibri"/>
    </w:rPr>
  </w:style>
  <w:style w:type="paragraph" w:styleId="1071" w:customStyle="1">
    <w:name w:val="正文空2格  1."/>
    <w:basedOn w:val="675"/>
    <w:uiPriority w:val="0"/>
    <w:qFormat/>
    <w:pPr>
      <w:ind w:firstLine="200"/>
      <w:spacing w:line="360" w:lineRule="auto"/>
    </w:pPr>
    <w:rPr>
      <w:rFonts w:ascii="宋体" w:hAnsi="宋体" w:eastAsia="仿宋" w:cs="宋体"/>
      <w:sz w:val="28"/>
      <w:szCs w:val="20"/>
    </w:rPr>
  </w:style>
  <w:style w:type="paragraph" w:styleId="1072" w:customStyle="1">
    <w:name w:val="段落"/>
    <w:basedOn w:val="675"/>
    <w:link w:val="1073"/>
    <w:uiPriority w:val="0"/>
    <w:qFormat/>
    <w:pPr>
      <w:ind w:firstLine="200"/>
      <w:spacing w:line="360" w:lineRule="auto"/>
    </w:pPr>
    <w:rPr>
      <w:rFonts w:ascii="仿宋_GB2312" w:eastAsia="仿宋_GB2312"/>
      <w:sz w:val="24"/>
    </w:rPr>
  </w:style>
  <w:style w:type="character" w:styleId="1073" w:customStyle="1">
    <w:name w:val="段落 Char"/>
    <w:link w:val="1072"/>
    <w:uiPriority w:val="0"/>
    <w:qFormat/>
    <w:rPr>
      <w:rFonts w:ascii="仿宋_GB2312" w:hAnsi="Times New Roman" w:eastAsia="仿宋_GB2312" w:cs="Times New Roman"/>
      <w:sz w:val="24"/>
      <w:szCs w:val="24"/>
    </w:rPr>
  </w:style>
  <w:style w:type="paragraph" w:styleId="1074" w:customStyle="1">
    <w:name w:val="标题3"/>
    <w:basedOn w:val="678"/>
    <w:next w:val="1072"/>
    <w:link w:val="1075"/>
    <w:uiPriority w:val="0"/>
    <w:qFormat/>
    <w:pPr>
      <w:spacing w:before="100" w:after="100" w:line="415" w:lineRule="auto"/>
    </w:pPr>
    <w:rPr>
      <w:rFonts w:eastAsia="仿宋_GB2312"/>
      <w:sz w:val="24"/>
    </w:rPr>
  </w:style>
  <w:style w:type="character" w:styleId="1075" w:customStyle="1">
    <w:name w:val="标题3 字符"/>
    <w:link w:val="1074"/>
    <w:uiPriority w:val="0"/>
    <w:qFormat/>
    <w:rPr>
      <w:rFonts w:ascii="Times New Roman" w:hAnsi="Times New Roman" w:eastAsia="仿宋_GB2312" w:cs="Times New Roman"/>
      <w:b/>
      <w:bCs/>
      <w:sz w:val="24"/>
      <w:szCs w:val="32"/>
    </w:rPr>
  </w:style>
  <w:style w:type="paragraph" w:styleId="1076" w:customStyle="1">
    <w:name w:val="普通正文"/>
    <w:basedOn w:val="675"/>
    <w:uiPriority w:val="0"/>
    <w:qFormat/>
    <w:pPr>
      <w:ind w:firstLine="480"/>
      <w:jc w:val="left"/>
      <w:spacing w:before="120" w:after="120" w:line="360" w:lineRule="auto"/>
    </w:pPr>
    <w:rPr>
      <w:rFonts w:ascii="Arial" w:hAnsi="Arial"/>
      <w:sz w:val="24"/>
    </w:rPr>
  </w:style>
  <w:style w:type="paragraph" w:styleId="1077" w:customStyle="1">
    <w:name w:val="内容正文"/>
    <w:basedOn w:val="675"/>
    <w:uiPriority w:val="0"/>
    <w:qFormat/>
    <w:pPr>
      <w:ind w:firstLine="480"/>
      <w:spacing w:line="360" w:lineRule="auto"/>
    </w:pPr>
    <w:rPr>
      <w:rFonts w:ascii="Calibri" w:hAnsi="Calibri"/>
      <w:sz w:val="28"/>
    </w:rPr>
  </w:style>
  <w:style w:type="paragraph" w:styleId="1078" w:customStyle="1">
    <w:name w:val="列出段落2"/>
    <w:basedOn w:val="675"/>
    <w:uiPriority w:val="0"/>
    <w:qFormat/>
    <w:pPr>
      <w:ind w:firstLine="420"/>
    </w:pPr>
    <w:rPr>
      <w:rFonts w:ascii="Calibri" w:hAnsi="Calibri"/>
      <w:szCs w:val="22"/>
    </w:rPr>
  </w:style>
  <w:style w:type="character" w:styleId="1079" w:customStyle="1">
    <w:name w:val="font01"/>
    <w:basedOn w:val="685"/>
    <w:uiPriority w:val="0"/>
    <w:qFormat/>
    <w:rPr>
      <w:rFonts w:hint="eastAsia" w:ascii="宋体" w:hAnsi="宋体" w:eastAsia="宋体" w:cs="宋体"/>
      <w:color w:val="000000"/>
      <w:sz w:val="20"/>
      <w:szCs w:val="20"/>
      <w:u w:val="none"/>
    </w:rPr>
  </w:style>
  <w:style w:type="paragraph" w:styleId="1080" w:customStyle="1">
    <w:name w:val="页脚1"/>
    <w:basedOn w:val="734"/>
    <w:uiPriority w:val="0"/>
    <w:qFormat/>
    <w:pPr>
      <w:spacing w:line="240" w:lineRule="auto"/>
      <w:tabs>
        <w:tab w:val="center" w:pos="4153" w:leader="none"/>
        <w:tab w:val="right" w:pos="8306" w:leader="none"/>
      </w:tabs>
    </w:pPr>
    <w:rPr>
      <w:sz w:val="18"/>
      <w:szCs w:val="18"/>
    </w:rPr>
  </w:style>
  <w:style w:type="table" w:styleId="1081" w:customStyle="1">
    <w:name w:val="网格型1"/>
    <w:basedOn w:val="6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2" w:customStyle="1">
    <w:name w:val="标题1"/>
    <w:basedOn w:val="675"/>
    <w:next w:val="675"/>
    <w:uiPriority w:val="10"/>
    <w:qFormat/>
    <w:pPr>
      <w:contextualSpacing/>
      <w:spacing w:before="300" w:after="200"/>
    </w:pPr>
    <w:rPr>
      <w:sz w:val="48"/>
      <w:szCs w:val="48"/>
    </w:rPr>
  </w:style>
  <w:style w:type="paragraph" w:styleId="1083" w:customStyle="1">
    <w:name w:val="正文缩进11"/>
    <w:basedOn w:val="1084"/>
    <w:uiPriority w:val="0"/>
    <w:qFormat/>
    <w:pPr>
      <w:ind w:firstLine="420"/>
    </w:pPr>
    <w:rPr>
      <w:sz w:val="21"/>
    </w:rPr>
  </w:style>
  <w:style w:type="paragraph" w:styleId="1084" w:customStyle="1">
    <w:name w:val="正文111"/>
    <w:next w:val="108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85" w:customStyle="1">
    <w:name w:val="文本块1"/>
    <w:basedOn w:val="1086"/>
    <w:uiPriority w:val="0"/>
    <w:qFormat/>
    <w:pPr>
      <w:ind w:left="420" w:right="33"/>
      <w:jc w:val="left"/>
    </w:pPr>
    <w:rPr>
      <w:sz w:val="24"/>
      <w:szCs w:val="20"/>
    </w:rPr>
  </w:style>
  <w:style w:type="paragraph" w:styleId="1086" w:customStyle="1">
    <w:name w:val="正文1111"/>
    <w:next w:val="1085"/>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目录 111"/>
    <w:basedOn w:val="1084"/>
    <w:next w:val="1084"/>
    <w:uiPriority w:val="0"/>
    <w:qFormat/>
  </w:style>
  <w:style w:type="paragraph" w:styleId="1088" w:customStyle="1">
    <w:name w:val="脚注文本11"/>
    <w:basedOn w:val="1084"/>
    <w:next w:val="1089"/>
    <w:uiPriority w:val="0"/>
    <w:qFormat/>
    <w:pPr>
      <w:jc w:val="left"/>
    </w:pPr>
    <w:rPr>
      <w:rFonts w:ascii="宋体" w:eastAsia="Times New Roman"/>
      <w:sz w:val="18"/>
      <w:szCs w:val="18"/>
    </w:rPr>
  </w:style>
  <w:style w:type="paragraph" w:styleId="1089" w:customStyle="1">
    <w:name w:val="索引 511"/>
    <w:basedOn w:val="1084"/>
    <w:next w:val="1084"/>
    <w:uiPriority w:val="0"/>
    <w:qFormat/>
    <w:pPr>
      <w:ind w:left="798"/>
      <w:jc w:val="left"/>
    </w:pPr>
    <w:rPr>
      <w:rFonts w:ascii="Calibri" w:hAnsi="Calibri"/>
    </w:rPr>
  </w:style>
  <w:style w:type="character" w:styleId="1090" w:customStyle="1">
    <w:name w:val="Unresolved Mention"/>
    <w:basedOn w:val="685"/>
    <w:uiPriority w:val="99"/>
    <w:semiHidden/>
    <w:unhideWhenUsed/>
    <w:qFormat/>
    <w:rPr>
      <w:color w:val="605e5c"/>
      <w:shd w:val="clear" w:color="auto" w:fill="e1dfdd"/>
    </w:rPr>
  </w:style>
  <w:style w:type="numbering" w:styleId="13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兴化市荻垛镇人民政府(填报)</dc:creator>
  <cp:lastModifiedBy>沙晓明01</cp:lastModifiedBy>
  <cp:revision>47</cp:revision>
  <dcterms:created xsi:type="dcterms:W3CDTF">2022-09-05T09:13:00Z</dcterms:created>
  <dcterms:modified xsi:type="dcterms:W3CDTF">2026-04-24T04:52:30Z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92A401CC93AC4A0FB35295D9F981EEA9_13</vt:lpwstr>
  </property>
  <property fmtid="{D5CDD505-2E9C-101B-9397-08002B2CF9AE}" pid="4" name="KSOTemplateDocerSaveRecord">
    <vt:lpwstr>eyJoZGlkIjoiMGMxZWIyNTgyMWVjMzZlNDg4ZmI4NDU4NDY4Y2E2NmEiLCJ1c2VySWQiOiIzNDY0MTQ0NTQifQ==</vt:lpwstr>
  </property>
</Properties>
</file>